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628B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14" w:lineRule="atLeast"/>
        <w:ind w:left="0" w:right="0"/>
        <w:rPr>
          <w:b/>
          <w:bCs/>
          <w:sz w:val="33"/>
          <w:szCs w:val="33"/>
        </w:rPr>
      </w:pPr>
      <w:r>
        <w:rPr>
          <w:b/>
          <w:bCs/>
          <w:sz w:val="33"/>
          <w:szCs w:val="33"/>
          <w:bdr w:val="none" w:color="auto" w:sz="0" w:space="0"/>
        </w:rPr>
        <w:t>关注！《广东省粤港澳大湾区内地九市进口港澳药品医疗器械安全事件应急预案（试行）》印发</w:t>
      </w:r>
    </w:p>
    <w:p w14:paraId="5F1EB6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25"/>
          <w:szCs w:val="25"/>
        </w:rPr>
      </w:pPr>
      <w:r>
        <w:rPr>
          <w:rFonts w:ascii="宋体" w:hAnsi="宋体" w:eastAsia="宋体" w:cs="宋体"/>
          <w:kern w:val="0"/>
          <w:sz w:val="25"/>
          <w:szCs w:val="25"/>
          <w:bdr w:val="none" w:color="auto" w:sz="0" w:space="0"/>
          <w:lang w:val="en-US" w:eastAsia="zh-CN" w:bidi="ar"/>
        </w:rPr>
        <w:drawing>
          <wp:inline distT="0" distB="0" distL="114300" distR="114300">
            <wp:extent cx="5266690" cy="1463040"/>
            <wp:effectExtent l="0" t="0" r="3810" b="1016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266690" cy="1463040"/>
                    </a:xfrm>
                    <a:prstGeom prst="rect">
                      <a:avLst/>
                    </a:prstGeom>
                    <a:noFill/>
                    <a:ln w="9525">
                      <a:noFill/>
                    </a:ln>
                  </pic:spPr>
                </pic:pic>
              </a:graphicData>
            </a:graphic>
          </wp:inline>
        </w:drawing>
      </w:r>
    </w:p>
    <w:p w14:paraId="1E6A8CB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7E36EDBE">
      <w:pPr>
        <w:keepNext w:val="0"/>
        <w:keepLines w:val="0"/>
        <w:widowControl/>
        <w:suppressLineNumbers w:val="0"/>
        <w:spacing w:before="0" w:beforeAutospacing="0" w:after="0" w:afterAutospacing="0"/>
        <w:ind w:left="0" w:right="0"/>
        <w:jc w:val="left"/>
      </w:pPr>
      <w:r>
        <w:rPr>
          <w:rFonts w:ascii="宋体" w:hAnsi="宋体" w:eastAsia="宋体" w:cs="宋体"/>
          <w:kern w:val="0"/>
          <w:sz w:val="25"/>
          <w:szCs w:val="25"/>
          <w:bdr w:val="none" w:color="auto" w:sz="0" w:space="0"/>
          <w:vertAlign w:val="baseline"/>
          <w:lang w:val="en-US" w:eastAsia="zh-CN" w:bidi="ar"/>
        </w:rPr>
        <w:drawing>
          <wp:inline distT="0" distB="0" distL="114300" distR="114300">
            <wp:extent cx="5273040" cy="2957830"/>
            <wp:effectExtent l="0" t="0" r="10160" b="1270"/>
            <wp:docPr id="4"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7"/>
                    <pic:cNvPicPr>
                      <a:picLocks noChangeAspect="1"/>
                    </pic:cNvPicPr>
                  </pic:nvPicPr>
                  <pic:blipFill>
                    <a:blip r:embed="rId5"/>
                    <a:stretch>
                      <a:fillRect/>
                    </a:stretch>
                  </pic:blipFill>
                  <pic:spPr>
                    <a:xfrm>
                      <a:off x="0" y="0"/>
                      <a:ext cx="5273040" cy="2957830"/>
                    </a:xfrm>
                    <a:prstGeom prst="rect">
                      <a:avLst/>
                    </a:prstGeom>
                    <a:noFill/>
                    <a:ln w="9525">
                      <a:noFill/>
                    </a:ln>
                  </pic:spPr>
                </pic:pic>
              </a:graphicData>
            </a:graphic>
          </wp:inline>
        </w:drawing>
      </w:r>
    </w:p>
    <w:p w14:paraId="280D97E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43E8868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近日，广东省药品监督管理局、广东省卫生健康委员会发布</w:t>
      </w:r>
      <w:r>
        <w:rPr>
          <w:rStyle w:val="7"/>
          <w:color w:val="4BACC6"/>
          <w:sz w:val="24"/>
          <w:szCs w:val="24"/>
          <w:bdr w:val="none" w:color="auto" w:sz="0" w:space="0"/>
        </w:rPr>
        <w:t>《广东省粤港澳大湾区内地九市进口港澳药品医疗器械安全事件应急预案（试行）》</w:t>
      </w:r>
      <w:r>
        <w:rPr>
          <w:sz w:val="24"/>
          <w:szCs w:val="24"/>
          <w:bdr w:val="none" w:color="auto" w:sz="0" w:space="0"/>
        </w:rPr>
        <w:t>。本预案自发布之日起施行，试行期三年。</w:t>
      </w:r>
    </w:p>
    <w:p w14:paraId="2CEEEA88">
      <w:pPr>
        <w:keepNext w:val="0"/>
        <w:keepLines w:val="0"/>
        <w:widowControl/>
        <w:suppressLineNumbers w:val="0"/>
        <w:spacing w:before="0" w:beforeAutospacing="0" w:after="0" w:afterAutospacing="0"/>
        <w:ind w:left="0" w:right="0"/>
        <w:jc w:val="left"/>
      </w:pPr>
    </w:p>
    <w:p w14:paraId="719F0B3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center"/>
      </w:pPr>
    </w:p>
    <w:p w14:paraId="1FCD5C2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center"/>
      </w:pPr>
      <w:r>
        <w:rPr>
          <w:sz w:val="24"/>
          <w:szCs w:val="24"/>
          <w:bdr w:val="none" w:color="auto" w:sz="0" w:space="0"/>
        </w:rPr>
        <w:t>一起来看看</w:t>
      </w:r>
    </w:p>
    <w:p w14:paraId="4B8803FD">
      <w:pPr>
        <w:keepNext w:val="0"/>
        <w:keepLines w:val="0"/>
        <w:widowControl/>
        <w:suppressLineNumbers w:val="0"/>
        <w:spacing w:before="0" w:beforeAutospacing="0" w:after="0" w:afterAutospacing="0"/>
        <w:ind w:left="0" w:right="0"/>
        <w:jc w:val="left"/>
      </w:pPr>
      <w:r>
        <w:rPr>
          <w:rFonts w:ascii="宋体" w:hAnsi="宋体" w:eastAsia="宋体" w:cs="宋体"/>
          <w:kern w:val="0"/>
          <w:sz w:val="25"/>
          <w:szCs w:val="25"/>
          <w:bdr w:val="none" w:color="auto" w:sz="0" w:space="0"/>
          <w:vertAlign w:val="baseline"/>
          <w:lang w:val="en-US" w:eastAsia="zh-CN" w:bidi="ar"/>
        </w:rPr>
        <w:drawing>
          <wp:inline distT="0" distB="0" distL="114300" distR="114300">
            <wp:extent cx="1724025" cy="1533525"/>
            <wp:effectExtent l="0" t="0" r="0" b="0"/>
            <wp:docPr id="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6"/>
                    <a:stretch>
                      <a:fillRect/>
                    </a:stretch>
                  </pic:blipFill>
                  <pic:spPr>
                    <a:xfrm>
                      <a:off x="0" y="0"/>
                      <a:ext cx="1724025" cy="1533525"/>
                    </a:xfrm>
                    <a:prstGeom prst="rect">
                      <a:avLst/>
                    </a:prstGeom>
                    <a:noFill/>
                    <a:ln w="9525">
                      <a:noFill/>
                    </a:ln>
                  </pic:spPr>
                </pic:pic>
              </a:graphicData>
            </a:graphic>
          </wp:inline>
        </w:drawing>
      </w:r>
    </w:p>
    <w:p w14:paraId="42D88F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67FBB02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938953"/>
          <w:sz w:val="24"/>
          <w:szCs w:val="24"/>
        </w:rPr>
      </w:pPr>
      <w:r>
        <w:rPr>
          <w:rStyle w:val="7"/>
          <w:color w:val="494429"/>
          <w:sz w:val="24"/>
          <w:szCs w:val="24"/>
          <w:bdr w:val="none" w:color="auto" w:sz="0" w:space="0"/>
        </w:rPr>
        <w:t>广东省药品监督管理局 广东省卫生健康委员会关于印发《广东省粤港澳大湾区内地九市进口港澳药品医疗器械安全事件应急预案（试行）》的通知</w:t>
      </w:r>
    </w:p>
    <w:p w14:paraId="6A77699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938953"/>
          <w:sz w:val="21"/>
          <w:szCs w:val="21"/>
        </w:rPr>
      </w:pPr>
      <w:r>
        <w:rPr>
          <w:color w:val="7F7F7F"/>
          <w:sz w:val="21"/>
          <w:szCs w:val="21"/>
          <w:bdr w:val="none" w:color="auto" w:sz="0" w:space="0"/>
        </w:rPr>
        <w:t>粤药监药二〔2026〕36号</w:t>
      </w:r>
    </w:p>
    <w:p w14:paraId="3A469085">
      <w:pPr>
        <w:keepNext w:val="0"/>
        <w:keepLines w:val="0"/>
        <w:widowControl/>
        <w:suppressLineNumbers w:val="0"/>
        <w:spacing w:before="0" w:beforeAutospacing="0" w:after="0" w:afterAutospacing="0"/>
        <w:ind w:left="0" w:right="0"/>
        <w:jc w:val="left"/>
      </w:pPr>
    </w:p>
    <w:p w14:paraId="62EA6E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广州、深圳、珠海、佛山、惠州、东莞、中山、江门、肇庆市市场监督管理局、卫生健康委（局）：</w:t>
      </w:r>
    </w:p>
    <w:p w14:paraId="1FA1E34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246A902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为建立健全粤港澳大湾区内地九市进口港澳药品医疗器械（以下简称急需港澳药械）临床使用安全事件应急工作机制，依据《广东省粤港澳大湾区内地九市进口港澳药品医疗器械管理条例》，省药品监管局会同省卫生健康委，制定了《广东省粤港澳大湾区内地九市进口港澳药品医疗器械安全事件应急预案（试行）》（以下简称《港澳药械应急预案》）。现印发给你们，并提出以下要求，请结合实际贯彻执行。</w:t>
      </w:r>
    </w:p>
    <w:p w14:paraId="3D4AE5D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41EEA7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z w:val="24"/>
          <w:szCs w:val="24"/>
          <w:bdr w:val="none" w:color="auto" w:sz="0" w:space="0"/>
        </w:rPr>
        <w:t>一、强化宣传贯彻，压实主体责任。</w:t>
      </w:r>
      <w:r>
        <w:rPr>
          <w:sz w:val="24"/>
          <w:szCs w:val="24"/>
          <w:bdr w:val="none" w:color="auto" w:sz="0" w:space="0"/>
        </w:rPr>
        <w:t>各地要全面做好《港澳药械应急预案》宣贯落地工作，及时将《港澳药械应急预案》要求传达至辖区内指定医疗机构、配送企业等相关主体，明确各单位在风险监测预警、安全事件信息报送、突发事件先期处置等关键环节的工作职责，细化工作分工、压实岗位责任，确保各项工作落地落细、责任到人。</w:t>
      </w:r>
    </w:p>
    <w:p w14:paraId="1C99398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7B82433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z w:val="24"/>
          <w:szCs w:val="24"/>
          <w:bdr w:val="none" w:color="auto" w:sz="0" w:space="0"/>
        </w:rPr>
        <w:t>二、抓实学习演练，精准把握处置标准。</w:t>
      </w:r>
      <w:r>
        <w:rPr>
          <w:sz w:val="24"/>
          <w:szCs w:val="24"/>
          <w:bdr w:val="none" w:color="auto" w:sz="0" w:space="0"/>
        </w:rPr>
        <w:t>各地要组织监管工作人员、相关从业单位开展《港澳药械应急预案》专题学习，准确掌握《港澳药械应急预案》工作要求，熟练把握应急响应启动标准、分级处置流程及工作规范。《港澳药械应急预案》明确的应急启动情形，一经发生，统一对应广东省药品安全事件应急预案Ⅱ级响应标准，按照“其他重大药品安全事件”规范开展应急处置工作。</w:t>
      </w:r>
    </w:p>
    <w:p w14:paraId="5346D07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2E1B3E2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z w:val="24"/>
          <w:szCs w:val="24"/>
          <w:bdr w:val="none" w:color="auto" w:sz="0" w:space="0"/>
        </w:rPr>
        <w:t>三、健全联动机制，凝聚工作合力。</w:t>
      </w:r>
      <w:r>
        <w:rPr>
          <w:sz w:val="24"/>
          <w:szCs w:val="24"/>
          <w:bdr w:val="none" w:color="auto" w:sz="0" w:space="0"/>
        </w:rPr>
        <w:t>各地市场监管、卫生健康主管部门要主动加强与公安、海关等相关部门的沟通协作，健全完善信息共享、风险联合研判、事件协同处置等工作机制，打通部门工作壁垒、补齐监管处置短板，切实提升急需港澳药械安全突发事件快速响应、规范处置的工作能力。</w:t>
      </w:r>
    </w:p>
    <w:p w14:paraId="5B2E92B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064A129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执行过程中遇到问题，请及时向上级主管部门报告。</w:t>
      </w:r>
    </w:p>
    <w:p w14:paraId="72B51B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328059D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right"/>
      </w:pPr>
      <w:r>
        <w:rPr>
          <w:sz w:val="24"/>
          <w:szCs w:val="24"/>
          <w:bdr w:val="none" w:color="auto" w:sz="0" w:space="0"/>
        </w:rPr>
        <w:t>广东省药品监督管理局</w:t>
      </w:r>
    </w:p>
    <w:p w14:paraId="3E3E0C4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right"/>
      </w:pPr>
      <w:r>
        <w:rPr>
          <w:sz w:val="24"/>
          <w:szCs w:val="24"/>
          <w:bdr w:val="none" w:color="auto" w:sz="0" w:space="0"/>
        </w:rPr>
        <w:t>广东省卫生健康委员会</w:t>
      </w:r>
    </w:p>
    <w:p w14:paraId="04F6C3A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right"/>
      </w:pPr>
      <w:r>
        <w:rPr>
          <w:sz w:val="24"/>
          <w:szCs w:val="24"/>
          <w:bdr w:val="none" w:color="auto" w:sz="0" w:space="0"/>
        </w:rPr>
        <w:t>2026年7月21日</w:t>
      </w:r>
    </w:p>
    <w:p w14:paraId="083D117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right"/>
      </w:pPr>
    </w:p>
    <w:p w14:paraId="4C90A62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center"/>
      </w:pPr>
      <w:r>
        <w:rPr>
          <w:rStyle w:val="7"/>
          <w:color w:val="4BACC6"/>
          <w:sz w:val="24"/>
          <w:szCs w:val="24"/>
          <w:bdr w:val="none" w:color="auto" w:sz="0" w:space="0"/>
        </w:rPr>
        <w:t>广东省粤港澳大湾区内地九市进口港澳药品医疗器械安全事件应急预案（试行）</w:t>
      </w:r>
    </w:p>
    <w:p w14:paraId="6C152BD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29310B09">
      <w:pPr>
        <w:keepNext w:val="0"/>
        <w:keepLines w:val="0"/>
        <w:widowControl/>
        <w:suppressLineNumbers w:val="0"/>
        <w:spacing w:before="0" w:beforeAutospacing="0" w:after="0" w:afterAutospacing="0"/>
        <w:ind w:left="0" w:right="0"/>
        <w:jc w:val="left"/>
      </w:pPr>
      <w:r>
        <w:rPr>
          <w:rStyle w:val="7"/>
          <w:rFonts w:ascii="宋体" w:hAnsi="宋体" w:eastAsia="宋体" w:cs="宋体"/>
          <w:kern w:val="0"/>
          <w:sz w:val="25"/>
          <w:szCs w:val="25"/>
          <w:bdr w:val="none" w:color="auto" w:sz="0" w:space="0"/>
          <w:lang w:val="en-US" w:eastAsia="zh-CN" w:bidi="ar"/>
        </w:rPr>
        <w:t>第一章 总则</w:t>
      </w:r>
    </w:p>
    <w:p w14:paraId="589C20C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27E244F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pacing w:val="15"/>
          <w:sz w:val="24"/>
          <w:szCs w:val="24"/>
          <w:bdr w:val="none" w:color="auto" w:sz="0" w:space="0"/>
        </w:rPr>
        <w:t>第一条</w:t>
      </w:r>
      <w:r>
        <w:rPr>
          <w:sz w:val="24"/>
          <w:szCs w:val="24"/>
          <w:bdr w:val="none" w:color="auto" w:sz="0" w:space="0"/>
        </w:rPr>
        <w:t> 为贯彻落实《广东省粤港澳大湾区内地九市进口港澳药品医疗器械管理条例》《粤港澳大湾区药品医疗器械监管创新发展工作方案》，建立健全进口港澳药品医疗器械（以下简称急需港澳药械）安全事件应急机制，提高应急处置能力，科学、高效、有序应对安全事件，最大程度减少对公众健康的危害，保障公众用药用械安全，制定本预案。</w:t>
      </w:r>
    </w:p>
    <w:p w14:paraId="6EDE27E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777201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pacing w:val="15"/>
          <w:sz w:val="24"/>
          <w:szCs w:val="24"/>
          <w:bdr w:val="none" w:color="auto" w:sz="0" w:space="0"/>
        </w:rPr>
        <w:t>第二条</w:t>
      </w:r>
      <w:r>
        <w:rPr>
          <w:sz w:val="24"/>
          <w:szCs w:val="24"/>
          <w:bdr w:val="none" w:color="auto" w:sz="0" w:space="0"/>
        </w:rPr>
        <w:t> 本预案所称急需港澳药械安全事件，是指因急需港澳药械质量问题，引发严重不良反应、不良事件，对社会公众健康造成或可能造成严重损害，需要采取应急处置措施予以应对的事件。</w:t>
      </w:r>
    </w:p>
    <w:p w14:paraId="31CC076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本预案适用于指导和规范广东省粤港澳大湾区内地九市行政区域内发生的，涉及急需港澳药械安全事件的应急管理工作。</w:t>
      </w:r>
    </w:p>
    <w:p w14:paraId="7A7E209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478F8F7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pacing w:val="15"/>
          <w:sz w:val="24"/>
          <w:szCs w:val="24"/>
          <w:bdr w:val="none" w:color="auto" w:sz="0" w:space="0"/>
        </w:rPr>
        <w:t>第三条</w:t>
      </w:r>
      <w:r>
        <w:rPr>
          <w:sz w:val="24"/>
          <w:szCs w:val="24"/>
          <w:bdr w:val="none" w:color="auto" w:sz="0" w:space="0"/>
        </w:rPr>
        <w:t> 急需港澳药械安全事件应急工作遵循以下原则：</w:t>
      </w:r>
    </w:p>
    <w:p w14:paraId="394E560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（一）统一领导，分级负责。在各级人民政府统一领导下，建立健全分类管理、分级负责、属地为主的应急管理体制。</w:t>
      </w:r>
    </w:p>
    <w:p w14:paraId="5EFB271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（二）预防为主，平战结合。坚持常态管理与应急管理相结合，加强监测预警和风险管理，完善应急准备。</w:t>
      </w:r>
    </w:p>
    <w:p w14:paraId="5EF1BB1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（三）快速反应，协同应对。加强部门间、区域间协同联动，建立信息共享、反应灵敏、运转高效的应急机制。</w:t>
      </w:r>
    </w:p>
    <w:p w14:paraId="5A10248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（四）科学评估，依法处置。依据法律法规和技术规范，充分发挥专家和专业机构作用，科学分析研判，依法依规开展调查处置。</w:t>
      </w:r>
    </w:p>
    <w:p w14:paraId="4CCAC4A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626929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pacing w:val="15"/>
          <w:sz w:val="24"/>
          <w:szCs w:val="24"/>
          <w:bdr w:val="none" w:color="auto" w:sz="0" w:space="0"/>
        </w:rPr>
        <w:t>第四条</w:t>
      </w:r>
      <w:r>
        <w:rPr>
          <w:sz w:val="24"/>
          <w:szCs w:val="24"/>
          <w:bdr w:val="none" w:color="auto" w:sz="0" w:space="0"/>
        </w:rPr>
        <w:t> 粤港澳大湾区内地九市进口港澳药品医疗器械安全事件应急处置工作，纳入全省药品安全应急管理统一体系，实行统一指挥、分级负责。省、内地九市药品监管、卫生健康主管等部门，按照法定职责及全省药品安全应急预案分工，协同开展应急处置工作。</w:t>
      </w:r>
    </w:p>
    <w:p w14:paraId="7A71395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448810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pacing w:val="15"/>
          <w:sz w:val="24"/>
          <w:szCs w:val="24"/>
          <w:bdr w:val="none" w:color="auto" w:sz="0" w:space="0"/>
        </w:rPr>
        <w:t>第五条</w:t>
      </w:r>
      <w:r>
        <w:rPr>
          <w:sz w:val="24"/>
          <w:szCs w:val="24"/>
          <w:bdr w:val="none" w:color="auto" w:sz="0" w:space="0"/>
        </w:rPr>
        <w:t> 加强与香港特别行政区政府、澳门特别行政区政府在药械安全领域的交流合作，推动粤港澳三地药械安全事件信息通报、预警会商、应急处置及人才交流培训等工作。</w:t>
      </w:r>
    </w:p>
    <w:p w14:paraId="54FCEB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1E1B6840">
      <w:pPr>
        <w:keepNext w:val="0"/>
        <w:keepLines w:val="0"/>
        <w:widowControl/>
        <w:suppressLineNumbers w:val="0"/>
        <w:spacing w:before="0" w:beforeAutospacing="0" w:after="0" w:afterAutospacing="0"/>
        <w:ind w:left="0" w:right="0"/>
        <w:jc w:val="left"/>
      </w:pPr>
      <w:r>
        <w:rPr>
          <w:rStyle w:val="7"/>
          <w:rFonts w:ascii="宋体" w:hAnsi="宋体" w:eastAsia="宋体" w:cs="宋体"/>
          <w:kern w:val="0"/>
          <w:sz w:val="25"/>
          <w:szCs w:val="25"/>
          <w:bdr w:val="none" w:color="auto" w:sz="0" w:space="0"/>
          <w:lang w:val="en-US" w:eastAsia="zh-CN" w:bidi="ar"/>
        </w:rPr>
        <w:t>第二章 组织体系与职责</w:t>
      </w:r>
    </w:p>
    <w:p w14:paraId="1015D8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5E85C3C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pacing w:val="15"/>
          <w:sz w:val="24"/>
          <w:szCs w:val="24"/>
          <w:bdr w:val="none" w:color="auto" w:sz="0" w:space="0"/>
        </w:rPr>
        <w:t>第六条</w:t>
      </w:r>
      <w:r>
        <w:rPr>
          <w:sz w:val="24"/>
          <w:szCs w:val="24"/>
          <w:bdr w:val="none" w:color="auto" w:sz="0" w:space="0"/>
        </w:rPr>
        <w:t> 在全省药品安全应急管理体系框架下，省药品监管局履行全省药品安全应急管理指挥部办公室职责，承担粤港澳大湾区内地九市进口港澳药品医疗器械安全事件应急管理日常工作；建立联络员协调机制，负责成员单位日常联络工作。各成员单位根据省药品安全应急指挥部统一部署，按照职责分工做好相关工作。</w:t>
      </w:r>
    </w:p>
    <w:p w14:paraId="451DD32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28EF9D4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pacing w:val="15"/>
          <w:sz w:val="24"/>
          <w:szCs w:val="24"/>
          <w:bdr w:val="none" w:color="auto" w:sz="0" w:space="0"/>
        </w:rPr>
        <w:t>第七条</w:t>
      </w:r>
      <w:r>
        <w:rPr>
          <w:sz w:val="24"/>
          <w:szCs w:val="24"/>
          <w:bdr w:val="none" w:color="auto" w:sz="0" w:space="0"/>
        </w:rPr>
        <w:t> 内地九市人民政府相关职能部门按照所在地药品安全事件应急预案，完善本行政区域应急指挥机制，负责辖区内急需港澳药械安全事件的应急指挥与协调。</w:t>
      </w:r>
    </w:p>
    <w:p w14:paraId="025C73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787C313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pacing w:val="15"/>
          <w:sz w:val="24"/>
          <w:szCs w:val="24"/>
          <w:bdr w:val="none" w:color="auto" w:sz="0" w:space="0"/>
        </w:rPr>
        <w:t>第八条</w:t>
      </w:r>
      <w:r>
        <w:rPr>
          <w:sz w:val="24"/>
          <w:szCs w:val="24"/>
          <w:bdr w:val="none" w:color="auto" w:sz="0" w:space="0"/>
        </w:rPr>
        <w:t> 药品监督管理部门根据工作需要调派专家，为事件调查、危害评估、应急处置、趋势研判等提供决策咨询和技术支持。</w:t>
      </w:r>
    </w:p>
    <w:p w14:paraId="4AB164C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药品监督管理部门、卫生健康主管部门设立或指定的相关专业技术机构按照各自职责，开展现场检查、应急抽样、检验检测、数据分析和风险评估等工作。</w:t>
      </w:r>
    </w:p>
    <w:p w14:paraId="215E9E0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48E75125">
      <w:pPr>
        <w:keepNext w:val="0"/>
        <w:keepLines w:val="0"/>
        <w:widowControl/>
        <w:suppressLineNumbers w:val="0"/>
        <w:spacing w:before="0" w:beforeAutospacing="0" w:after="0" w:afterAutospacing="0"/>
        <w:ind w:left="0" w:right="0"/>
        <w:jc w:val="left"/>
      </w:pPr>
      <w:r>
        <w:rPr>
          <w:rStyle w:val="7"/>
          <w:rFonts w:ascii="宋体" w:hAnsi="宋体" w:eastAsia="宋体" w:cs="宋体"/>
          <w:kern w:val="0"/>
          <w:sz w:val="25"/>
          <w:szCs w:val="25"/>
          <w:bdr w:val="none" w:color="auto" w:sz="0" w:space="0"/>
          <w:lang w:val="en-US" w:eastAsia="zh-CN" w:bidi="ar"/>
        </w:rPr>
        <w:t>第三章 监测预警与信息报告</w:t>
      </w:r>
    </w:p>
    <w:p w14:paraId="302F97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55DE15C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pacing w:val="15"/>
          <w:sz w:val="24"/>
          <w:szCs w:val="24"/>
          <w:bdr w:val="none" w:color="auto" w:sz="0" w:space="0"/>
        </w:rPr>
        <w:t>第九条</w:t>
      </w:r>
      <w:r>
        <w:rPr>
          <w:sz w:val="24"/>
          <w:szCs w:val="24"/>
          <w:bdr w:val="none" w:color="auto" w:sz="0" w:space="0"/>
        </w:rPr>
        <w:t> 省药品监管局会同省卫生健康委等部门，建立健全急需港澳药械安全风险监测网络，完善不良反应、不良事件报告、质量抽检、舆情监测等制度，加强对指定医疗机构、经营企业的监督检查。</w:t>
      </w:r>
    </w:p>
    <w:p w14:paraId="4EAB731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2341115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z w:val="24"/>
          <w:szCs w:val="24"/>
          <w:bdr w:val="none" w:color="auto" w:sz="0" w:space="0"/>
        </w:rPr>
        <w:t>第十条</w:t>
      </w:r>
      <w:r>
        <w:rPr>
          <w:sz w:val="24"/>
          <w:szCs w:val="24"/>
          <w:bdr w:val="none" w:color="auto" w:sz="0" w:space="0"/>
        </w:rPr>
        <w:t> 指定医疗机构、经营企业及医务人员发现或获知急需港澳药械出现严重不良反应、不良事件或者重大医疗事故等使用安全问题时，必须按照规定立即向所在地地级以上市人民政府卫生健康主管部门和药品监督管理部门报告。</w:t>
      </w:r>
    </w:p>
    <w:p w14:paraId="28CEEF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404461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z w:val="24"/>
          <w:szCs w:val="24"/>
          <w:bdr w:val="none" w:color="auto" w:sz="0" w:space="0"/>
        </w:rPr>
        <w:t>第十一条</w:t>
      </w:r>
      <w:r>
        <w:rPr>
          <w:sz w:val="24"/>
          <w:szCs w:val="24"/>
          <w:bdr w:val="none" w:color="auto" w:sz="0" w:space="0"/>
        </w:rPr>
        <w:t> 卫生健康主管部门、药品监督管理部门接到报告后，应当立即组织核实研判。初步判定为急需港澳药械安全事件的，应按照有关规定和程序，及时向上级主管部门和本级人民政府报告，并通报相关部门。涉及香港、澳门的，按规定程序通报。</w:t>
      </w:r>
    </w:p>
    <w:p w14:paraId="240BBAA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0EA16464">
      <w:pPr>
        <w:keepNext w:val="0"/>
        <w:keepLines w:val="0"/>
        <w:widowControl/>
        <w:suppressLineNumbers w:val="0"/>
        <w:spacing w:before="0" w:beforeAutospacing="0" w:after="0" w:afterAutospacing="0"/>
        <w:ind w:left="0" w:right="0"/>
        <w:jc w:val="left"/>
      </w:pPr>
      <w:r>
        <w:rPr>
          <w:rStyle w:val="7"/>
          <w:rFonts w:ascii="宋体" w:hAnsi="宋体" w:eastAsia="宋体" w:cs="宋体"/>
          <w:kern w:val="0"/>
          <w:sz w:val="25"/>
          <w:szCs w:val="25"/>
          <w:bdr w:val="none" w:color="auto" w:sz="0" w:space="0"/>
          <w:lang w:val="en-US" w:eastAsia="zh-CN" w:bidi="ar"/>
        </w:rPr>
        <w:t>第四章 应急响应</w:t>
      </w:r>
    </w:p>
    <w:p w14:paraId="06CDC1C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594EF48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z w:val="24"/>
          <w:szCs w:val="24"/>
          <w:bdr w:val="none" w:color="auto" w:sz="0" w:space="0"/>
        </w:rPr>
        <w:t>第十二条</w:t>
      </w:r>
      <w:r>
        <w:rPr>
          <w:sz w:val="24"/>
          <w:szCs w:val="24"/>
          <w:bdr w:val="none" w:color="auto" w:sz="0" w:space="0"/>
        </w:rPr>
        <w:t> 满足以下条件之一的，应当按广东省药品安全事件预案中Ⅱ级响应级别启动应急响应：</w:t>
      </w:r>
    </w:p>
    <w:p w14:paraId="5DB6F4A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（一）确认或高度怀疑因使用急需港澳药械直接导致1例及以上死亡病例的；</w:t>
      </w:r>
    </w:p>
    <w:p w14:paraId="00FC6D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（二）同一产品、同一批号短期内出现3例及以上严重不良反应、不良事件，经临床研判，表现高度相似的；</w:t>
      </w:r>
    </w:p>
    <w:p w14:paraId="62104F8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（三）已确认涉事药械存在问题，且产品已流通至3家以上医疗机构，事件已引起社会广泛关注的。</w:t>
      </w:r>
    </w:p>
    <w:p w14:paraId="00C6904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328CE8C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z w:val="24"/>
          <w:szCs w:val="24"/>
          <w:bdr w:val="none" w:color="auto" w:sz="0" w:space="0"/>
        </w:rPr>
        <w:t>第十三条</w:t>
      </w:r>
      <w:r>
        <w:rPr>
          <w:sz w:val="24"/>
          <w:szCs w:val="24"/>
          <w:bdr w:val="none" w:color="auto" w:sz="0" w:space="0"/>
        </w:rPr>
        <w:t> 指定医疗机构是临床使用急需港澳药械安全事件的第一责任主体。各指定医疗机构必须依据《广东省粤港澳大湾区内地九市进口港澳药品医疗器械管理条例》及本预案，制定本单位的急需港澳药械安全事件应急处置方案，明确内部报告流程、现场控制措施、患者救治协调、信息记录保全等具体要求，并定期组织培训与演练。</w:t>
      </w:r>
    </w:p>
    <w:p w14:paraId="31B3AC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事件发生后，事发指定医疗机构应当立即依据本单位应急处置方案，采取以下先期处置措施：</w:t>
      </w:r>
    </w:p>
    <w:p w14:paraId="24332C7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（一）立即暂停使用、封存涉事药械，必要时对其他相关批次药械采取预防性控制措施；</w:t>
      </w:r>
    </w:p>
    <w:p w14:paraId="0FBB23F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（二）全力组织开展对受影响患者的医疗救治，包括必要的转诊等措施，保护患者生命健康；</w:t>
      </w:r>
    </w:p>
    <w:p w14:paraId="2521306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（三）保护事件现场，保存相关记录、资料和药械实物；</w:t>
      </w:r>
    </w:p>
    <w:p w14:paraId="5C6A44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（四）主动排查事件原因，并按规定第一时间向所在地地级以上市人民政府卫生健康主管部门和药品监督管理部门报告。</w:t>
      </w:r>
    </w:p>
    <w:p w14:paraId="3B3C88E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事发指定医疗机构的先期处置工作，不受上级应急预案是否启动的影响。</w:t>
      </w:r>
    </w:p>
    <w:p w14:paraId="559642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578A797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z w:val="24"/>
          <w:szCs w:val="24"/>
          <w:bdr w:val="none" w:color="auto" w:sz="0" w:space="0"/>
        </w:rPr>
        <w:t>第十四条</w:t>
      </w:r>
      <w:r>
        <w:rPr>
          <w:sz w:val="24"/>
          <w:szCs w:val="24"/>
          <w:bdr w:val="none" w:color="auto" w:sz="0" w:space="0"/>
        </w:rPr>
        <w:t> 省、市两级卫生健康主管部门和药品监督管理部门在接到指定医疗机构、下级部门或其他单位的报告后，应当立即核实情况，进行分析研判并提出应急响应建议。</w:t>
      </w:r>
    </w:p>
    <w:p w14:paraId="2DF5E8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满足本预案第十二条所列启动条件的，由省药品监管局会同省卫生健康委按照相关规定启动响应。所在地市级应急指挥机构配合省级应急指挥机构组织开展应急处置工作。</w:t>
      </w:r>
    </w:p>
    <w:p w14:paraId="7A3F31C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458E3B9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z w:val="24"/>
          <w:szCs w:val="24"/>
          <w:bdr w:val="none" w:color="auto" w:sz="0" w:space="0"/>
        </w:rPr>
        <w:t>第十五条</w:t>
      </w:r>
      <w:r>
        <w:rPr>
          <w:sz w:val="24"/>
          <w:szCs w:val="24"/>
          <w:bdr w:val="none" w:color="auto" w:sz="0" w:space="0"/>
        </w:rPr>
        <w:t> 应急处置过程中，应重点做好以下工作：</w:t>
      </w:r>
    </w:p>
    <w:p w14:paraId="1EF0D44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（一）药品监督管理部门立即责令停止使用并查封涉事批次产品，控制相关库存。联合市场监管、海关等部门，追溯进口、流通、使用的全链条产品，核查资质文件、储运记录等资料。</w:t>
      </w:r>
    </w:p>
    <w:p w14:paraId="16C0FF6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（二）卫生健康主管部门指导医疗机构对已使用涉事药械的患者进行排查、健康监测和医疗救治，组织专家力量，做好患者及家属沟通解释工作。</w:t>
      </w:r>
    </w:p>
    <w:p w14:paraId="5838490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（三）药品监督管理部门会同卫生健康主管部门组织技术机构和专家，结合临床资料、检验数据、流调信息等情况，开展风险评估，研判事件性质、危害程度、影响范围及发展趋势。</w:t>
      </w:r>
    </w:p>
    <w:p w14:paraId="4B08055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2A6819B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z w:val="24"/>
          <w:szCs w:val="24"/>
          <w:bdr w:val="none" w:color="auto" w:sz="0" w:space="0"/>
        </w:rPr>
        <w:t>第十六条</w:t>
      </w:r>
      <w:r>
        <w:rPr>
          <w:sz w:val="24"/>
          <w:szCs w:val="24"/>
          <w:bdr w:val="none" w:color="auto" w:sz="0" w:space="0"/>
        </w:rPr>
        <w:t> 应急处置过程中，应持续监测事件进展，根据评估结果动态调整应对措施。当事件危害得到有效控制，经评估认为已降低到较低风险或无进一步扩散可能时，由启动响应的指挥机构决定终止应急响应，转入后期处置阶段。</w:t>
      </w:r>
    </w:p>
    <w:p w14:paraId="3E05C7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76B762AB">
      <w:pPr>
        <w:keepNext w:val="0"/>
        <w:keepLines w:val="0"/>
        <w:widowControl/>
        <w:suppressLineNumbers w:val="0"/>
        <w:spacing w:before="0" w:beforeAutospacing="0" w:after="0" w:afterAutospacing="0"/>
        <w:ind w:left="0" w:right="0"/>
        <w:jc w:val="left"/>
      </w:pPr>
      <w:r>
        <w:rPr>
          <w:rStyle w:val="7"/>
          <w:rFonts w:ascii="宋体" w:hAnsi="宋体" w:eastAsia="宋体" w:cs="宋体"/>
          <w:kern w:val="0"/>
          <w:sz w:val="25"/>
          <w:szCs w:val="25"/>
          <w:bdr w:val="none" w:color="auto" w:sz="0" w:space="0"/>
          <w:lang w:val="en-US" w:eastAsia="zh-CN" w:bidi="ar"/>
        </w:rPr>
        <w:t>第五章 后期处置</w:t>
      </w:r>
    </w:p>
    <w:p w14:paraId="0852107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0BED54B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z w:val="24"/>
          <w:szCs w:val="24"/>
          <w:bdr w:val="none" w:color="auto" w:sz="0" w:space="0"/>
        </w:rPr>
        <w:t>第十七条</w:t>
      </w:r>
      <w:r>
        <w:rPr>
          <w:sz w:val="24"/>
          <w:szCs w:val="24"/>
          <w:bdr w:val="none" w:color="auto" w:sz="0" w:space="0"/>
        </w:rPr>
        <w:t> 后期处置阶段，事发地人民政府依照广东省药品应急预案的要求负责组织善后处置工作，包括受影响人员的救治、安抚、赔偿、补偿，协助保险理赔，帮助相关企业、单位恢复生产经营秩序，确保社会稳定。</w:t>
      </w:r>
    </w:p>
    <w:p w14:paraId="4A32A6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指定医疗机构按照《粤港澳大湾区药品医疗器械监管创新发展工作方案》等规定，对急需港澳药械的使用风险承担责任。</w:t>
      </w:r>
    </w:p>
    <w:p w14:paraId="220F282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335A1CB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z w:val="24"/>
          <w:szCs w:val="24"/>
          <w:bdr w:val="none" w:color="auto" w:sz="0" w:space="0"/>
        </w:rPr>
        <w:t>第十八条</w:t>
      </w:r>
      <w:r>
        <w:rPr>
          <w:sz w:val="24"/>
          <w:szCs w:val="24"/>
          <w:bdr w:val="none" w:color="auto" w:sz="0" w:space="0"/>
        </w:rPr>
        <w:t> 药品监督管理部门会同卫生健康主管部门依法开展事件调查，查明事件原因、性质和责任，提出处理意见和改进建议，按《广东省粤港澳大湾区内地九市进口港澳药品医疗器械管理条例》相关规定进行处置。</w:t>
      </w:r>
    </w:p>
    <w:p w14:paraId="452ED1B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（一）经调查确属产品质量问题的，由药品监督管理部门依法对境外药品上市许可持有人，医疗器械注册人、备案人，或者前者授权的经营机构等进行处置。</w:t>
      </w:r>
    </w:p>
    <w:p w14:paraId="5CB63C2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（二）属不合理用药用械或诊疗过错的，由卫生健康主管部门依法对有关医疗机构和人员进行处理。</w:t>
      </w:r>
    </w:p>
    <w:p w14:paraId="0B9B090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sz w:val="24"/>
          <w:szCs w:val="24"/>
          <w:bdr w:val="none" w:color="auto" w:sz="0" w:space="0"/>
        </w:rPr>
        <w:t>（三）属新的严重药品不良反应或医疗器械不良事件的，组织开展安全性再评价，并根据评价结果调整相关管理措施。</w:t>
      </w:r>
    </w:p>
    <w:p w14:paraId="6161779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2999386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z w:val="24"/>
          <w:szCs w:val="24"/>
          <w:bdr w:val="none" w:color="auto" w:sz="0" w:space="0"/>
        </w:rPr>
        <w:t>第十九条</w:t>
      </w:r>
      <w:r>
        <w:rPr>
          <w:sz w:val="24"/>
          <w:szCs w:val="24"/>
          <w:bdr w:val="none" w:color="auto" w:sz="0" w:space="0"/>
        </w:rPr>
        <w:t> 应急响应终止后，省药品监管局会同省卫生健康委组织相关单位，梳理分析事件成因及影响因素，全面评估应急处置工作开展情况与实施成效，研究提出同类事件防范对策及工作改进建议，汇总形成工作总结报送省人民政府。</w:t>
      </w:r>
    </w:p>
    <w:p w14:paraId="5CC6B6E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509D697B">
      <w:pPr>
        <w:keepNext w:val="0"/>
        <w:keepLines w:val="0"/>
        <w:widowControl/>
        <w:suppressLineNumbers w:val="0"/>
        <w:spacing w:before="0" w:beforeAutospacing="0" w:after="0" w:afterAutospacing="0"/>
        <w:ind w:left="0" w:right="0"/>
        <w:jc w:val="left"/>
      </w:pPr>
      <w:r>
        <w:rPr>
          <w:rStyle w:val="7"/>
          <w:rFonts w:ascii="宋体" w:hAnsi="宋体" w:eastAsia="宋体" w:cs="宋体"/>
          <w:kern w:val="0"/>
          <w:sz w:val="25"/>
          <w:szCs w:val="25"/>
          <w:bdr w:val="none" w:color="auto" w:sz="0" w:space="0"/>
          <w:lang w:val="en-US" w:eastAsia="zh-CN" w:bidi="ar"/>
        </w:rPr>
        <w:t>第六章 保障措施</w:t>
      </w:r>
    </w:p>
    <w:p w14:paraId="667B921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7304E08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z w:val="24"/>
          <w:szCs w:val="24"/>
          <w:bdr w:val="none" w:color="auto" w:sz="0" w:space="0"/>
        </w:rPr>
        <w:t>第二十条</w:t>
      </w:r>
      <w:r>
        <w:rPr>
          <w:sz w:val="24"/>
          <w:szCs w:val="24"/>
          <w:bdr w:val="none" w:color="auto" w:sz="0" w:space="0"/>
        </w:rPr>
        <w:t> 各地人民政府依照广东省药品应急预案的要求应当保障急需港澳药械安全事件应急工作经费，满足监测预警、应急处置、检验检测、业务培训、应急演练等各项工作需求。</w:t>
      </w:r>
    </w:p>
    <w:p w14:paraId="476E4D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5BF16BA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z w:val="24"/>
          <w:szCs w:val="24"/>
          <w:bdr w:val="none" w:color="auto" w:sz="0" w:space="0"/>
        </w:rPr>
        <w:t>第二十一条</w:t>
      </w:r>
      <w:r>
        <w:rPr>
          <w:sz w:val="24"/>
          <w:szCs w:val="24"/>
          <w:bdr w:val="none" w:color="auto" w:sz="0" w:space="0"/>
        </w:rPr>
        <w:t> 各相关单位应当加强应急队伍建设，配备必要的应急装备和物资，定期组织开展应急培训和演练，提高应急处置实战能力。</w:t>
      </w:r>
    </w:p>
    <w:p w14:paraId="796BC6A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0E776A6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z w:val="24"/>
          <w:szCs w:val="24"/>
          <w:bdr w:val="none" w:color="auto" w:sz="0" w:space="0"/>
        </w:rPr>
        <w:t>第二十二条</w:t>
      </w:r>
      <w:r>
        <w:rPr>
          <w:sz w:val="24"/>
          <w:szCs w:val="24"/>
          <w:bdr w:val="none" w:color="auto" w:sz="0" w:space="0"/>
        </w:rPr>
        <w:t> 各相关单位应当加强与港澳药品、卫生监管部门沟通协作，及时收集港澳上市药品、医疗器械安全相关信息，健全跨境风险预警通报机制，协同做好应急处置工作。</w:t>
      </w:r>
    </w:p>
    <w:p w14:paraId="448E03C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3573ED6A">
      <w:pPr>
        <w:keepNext w:val="0"/>
        <w:keepLines w:val="0"/>
        <w:widowControl/>
        <w:suppressLineNumbers w:val="0"/>
        <w:spacing w:before="0" w:beforeAutospacing="0" w:after="0" w:afterAutospacing="0"/>
        <w:ind w:left="0" w:right="0"/>
        <w:jc w:val="left"/>
      </w:pPr>
      <w:r>
        <w:rPr>
          <w:rStyle w:val="7"/>
          <w:rFonts w:ascii="宋体" w:hAnsi="宋体" w:eastAsia="宋体" w:cs="宋体"/>
          <w:kern w:val="0"/>
          <w:sz w:val="25"/>
          <w:szCs w:val="25"/>
          <w:bdr w:val="none" w:color="auto" w:sz="0" w:space="0"/>
          <w:lang w:val="en-US" w:eastAsia="zh-CN" w:bidi="ar"/>
        </w:rPr>
        <w:t>第七章 附则</w:t>
      </w:r>
    </w:p>
    <w:p w14:paraId="44316CB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149B195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z w:val="24"/>
          <w:szCs w:val="24"/>
          <w:bdr w:val="none" w:color="auto" w:sz="0" w:space="0"/>
        </w:rPr>
        <w:t>第二十三条</w:t>
      </w:r>
      <w:r>
        <w:rPr>
          <w:sz w:val="24"/>
          <w:szCs w:val="24"/>
          <w:bdr w:val="none" w:color="auto" w:sz="0" w:space="0"/>
        </w:rPr>
        <w:t> 本预案是急需港澳药械安全事件专门预案，优先于通用的药械安全事件应急预案；事件超出本预案适用范围时，依法启动药械安全事件相应应急预案。</w:t>
      </w:r>
    </w:p>
    <w:p w14:paraId="0CFCB1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12035E3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z w:val="24"/>
          <w:szCs w:val="24"/>
          <w:bdr w:val="none" w:color="auto" w:sz="0" w:space="0"/>
        </w:rPr>
        <w:t>第二十四条</w:t>
      </w:r>
      <w:r>
        <w:rPr>
          <w:sz w:val="24"/>
          <w:szCs w:val="24"/>
          <w:bdr w:val="none" w:color="auto" w:sz="0" w:space="0"/>
        </w:rPr>
        <w:t>本预案由省药品监管局会省卫生健康委负责解释。</w:t>
      </w:r>
    </w:p>
    <w:p w14:paraId="55A4971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p>
    <w:p w14:paraId="0DAF50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jc w:val="both"/>
      </w:pPr>
      <w:r>
        <w:rPr>
          <w:rStyle w:val="7"/>
          <w:color w:val="31859B"/>
          <w:sz w:val="24"/>
          <w:szCs w:val="24"/>
          <w:bdr w:val="none" w:color="auto" w:sz="0" w:space="0"/>
        </w:rPr>
        <w:t>第二十五条 </w:t>
      </w:r>
      <w:r>
        <w:rPr>
          <w:sz w:val="24"/>
          <w:szCs w:val="24"/>
          <w:bdr w:val="none" w:color="auto" w:sz="0" w:space="0"/>
        </w:rPr>
        <w:t>本预案自发布之日起施行，试行期三年。</w:t>
      </w:r>
    </w:p>
    <w:p w14:paraId="659E3891">
      <w:pPr>
        <w:keepNext w:val="0"/>
        <w:keepLines w:val="0"/>
        <w:widowControl/>
        <w:suppressLineNumbers w:val="0"/>
        <w:spacing w:before="0" w:beforeAutospacing="0" w:after="0" w:afterAutospacing="0"/>
        <w:ind w:left="0" w:right="0"/>
        <w:jc w:val="left"/>
      </w:pPr>
    </w:p>
    <w:p w14:paraId="181C189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33D1E9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3CA0CD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83D4A5F">
      <w:pPr>
        <w:keepNext w:val="0"/>
        <w:keepLines w:val="0"/>
        <w:widowControl/>
        <w:suppressLineNumbers w:val="0"/>
        <w:spacing w:before="0" w:beforeAutospacing="0" w:after="0" w:afterAutospacing="0"/>
        <w:ind w:left="0" w:right="0"/>
        <w:jc w:val="left"/>
      </w:pPr>
      <w:r>
        <w:rPr>
          <w:rStyle w:val="7"/>
          <w:rFonts w:ascii="宋体" w:hAnsi="宋体" w:eastAsia="宋体" w:cs="宋体"/>
          <w:kern w:val="0"/>
          <w:sz w:val="25"/>
          <w:szCs w:val="25"/>
          <w:bdr w:val="none" w:color="auto" w:sz="0" w:space="0"/>
          <w:lang w:val="en-US" w:eastAsia="zh-CN" w:bidi="ar"/>
        </w:rPr>
        <w:t>END</w:t>
      </w:r>
    </w:p>
    <w:p w14:paraId="0F6D3FA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center"/>
        <w:rPr>
          <w:rFonts w:ascii="Arial" w:hAnsi="Arial" w:eastAsia="Arial" w:cs="Arial"/>
          <w:color w:val="222222"/>
          <w:spacing w:val="5"/>
          <w:sz w:val="25"/>
          <w:szCs w:val="25"/>
        </w:rPr>
      </w:pPr>
      <w:r>
        <w:rPr>
          <w:rFonts w:ascii="PingFangSC-light" w:hAnsi="PingFangSC-light" w:eastAsia="PingFangSC-light" w:cs="PingFangSC-light"/>
          <w:color w:val="888888"/>
          <w:spacing w:val="10"/>
          <w:sz w:val="21"/>
          <w:szCs w:val="21"/>
          <w:bdr w:val="none" w:color="auto" w:sz="0" w:space="0"/>
          <w:shd w:val="clear" w:fill="FFFFFF"/>
        </w:rPr>
        <w:t>素材来源</w:t>
      </w:r>
      <w:r>
        <w:rPr>
          <w:rFonts w:hint="default" w:ascii="PingFangSC-light" w:hAnsi="PingFangSC-light" w:eastAsia="PingFangSC-light" w:cs="PingFangSC-light"/>
          <w:i w:val="0"/>
          <w:iCs w:val="0"/>
          <w:caps w:val="0"/>
          <w:color w:val="888888"/>
          <w:spacing w:val="10"/>
          <w:sz w:val="21"/>
          <w:szCs w:val="21"/>
          <w:bdr w:val="none" w:color="auto" w:sz="0" w:space="0"/>
          <w:shd w:val="clear" w:fill="FFFFFF"/>
        </w:rPr>
        <w:t>：广东省药品监督管理局</w:t>
      </w:r>
    </w:p>
    <w:p w14:paraId="533F1C5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center"/>
        <w:rPr>
          <w:rFonts w:hint="default" w:ascii="Arial" w:hAnsi="Arial" w:eastAsia="Arial" w:cs="Arial"/>
          <w:color w:val="222222"/>
          <w:spacing w:val="5"/>
          <w:sz w:val="25"/>
          <w:szCs w:val="25"/>
        </w:rPr>
      </w:pPr>
      <w:r>
        <w:rPr>
          <w:rFonts w:hint="default" w:ascii="PingFangSC-light" w:hAnsi="PingFangSC-light" w:eastAsia="PingFangSC-light" w:cs="PingFangSC-light"/>
          <w:color w:val="888888"/>
          <w:spacing w:val="10"/>
          <w:sz w:val="21"/>
          <w:szCs w:val="21"/>
          <w:bdr w:val="none" w:color="auto" w:sz="0" w:space="0"/>
          <w:shd w:val="clear" w:fill="FFFFFF"/>
        </w:rPr>
        <w:t>编辑整理：广东药监</w:t>
      </w:r>
    </w:p>
    <w:p w14:paraId="7ECD94E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PingFangSC-light" w:hAnsi="PingFangSC-light" w:eastAsia="PingFangSC-light" w:cs="PingFangSC-light"/>
          <w:color w:val="888888"/>
          <w:spacing w:val="10"/>
          <w:sz w:val="21"/>
          <w:szCs w:val="21"/>
          <w:bdr w:val="none" w:color="auto" w:sz="0" w:space="0"/>
        </w:rPr>
        <w:t>转载请注明以上信息</w:t>
      </w:r>
    </w:p>
    <w:p w14:paraId="469D59AB">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pPr>
    </w:p>
    <w:p w14:paraId="27E8435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spacing w:val="17"/>
          <w:sz w:val="21"/>
          <w:szCs w:val="21"/>
        </w:rPr>
      </w:pPr>
      <w:r>
        <w:rPr>
          <w:color w:val="595959"/>
          <w:spacing w:val="17"/>
          <w:sz w:val="21"/>
          <w:szCs w:val="21"/>
          <w:bdr w:val="single" w:color="EEEDEB" w:sz="4" w:space="0"/>
          <w:shd w:val="clear" w:fill="EEEDEB"/>
          <w:vertAlign w:val="baseline"/>
        </w:rPr>
        <w:drawing>
          <wp:inline distT="0" distB="0" distL="114300" distR="114300">
            <wp:extent cx="1552575" cy="581025"/>
            <wp:effectExtent l="0" t="0" r="9525" b="3175"/>
            <wp:docPr id="3"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59"/>
                    <pic:cNvPicPr>
                      <a:picLocks noChangeAspect="1"/>
                    </pic:cNvPicPr>
                  </pic:nvPicPr>
                  <pic:blipFill>
                    <a:blip r:embed="rId7"/>
                    <a:stretch>
                      <a:fillRect/>
                    </a:stretch>
                  </pic:blipFill>
                  <pic:spPr>
                    <a:xfrm>
                      <a:off x="0" y="0"/>
                      <a:ext cx="1552575" cy="581025"/>
                    </a:xfrm>
                    <a:prstGeom prst="rect">
                      <a:avLst/>
                    </a:prstGeom>
                    <a:noFill/>
                    <a:ln w="9525">
                      <a:noFill/>
                    </a:ln>
                  </pic:spPr>
                </pic:pic>
              </a:graphicData>
            </a:graphic>
          </wp:inline>
        </w:drawing>
      </w:r>
    </w:p>
    <w:p w14:paraId="23617428">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pPr>
    </w:p>
    <w:p w14:paraId="24E3B4D6">
      <w:pPr>
        <w:keepNext w:val="0"/>
        <w:keepLines w:val="0"/>
        <w:widowControl/>
        <w:suppressLineNumbers w:val="0"/>
        <w:spacing w:before="0" w:beforeAutospacing="0" w:after="0" w:afterAutospacing="0"/>
        <w:ind w:left="0" w:right="0"/>
        <w:jc w:val="left"/>
      </w:pPr>
      <w:r>
        <w:rPr>
          <w:rFonts w:ascii="宋体" w:hAnsi="宋体" w:eastAsia="宋体" w:cs="宋体"/>
          <w:kern w:val="0"/>
          <w:sz w:val="25"/>
          <w:szCs w:val="25"/>
          <w:bdr w:val="none" w:color="auto" w:sz="0" w:space="0"/>
          <w:lang w:val="en-US" w:eastAsia="zh-CN" w:bidi="ar"/>
        </w:rPr>
        <w:t> 01</w:t>
      </w:r>
    </w:p>
    <w:p w14:paraId="4EC9AB6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pPr>
      <w:r>
        <w:rPr>
          <w:color w:val="576B95"/>
          <w:sz w:val="25"/>
          <w:szCs w:val="25"/>
          <w:u w:val="none"/>
          <w:bdr w:val="none" w:color="auto" w:sz="0" w:space="0"/>
        </w:rPr>
        <w:fldChar w:fldCharType="begin"/>
      </w:r>
      <w:r>
        <w:rPr>
          <w:color w:val="576B95"/>
          <w:sz w:val="25"/>
          <w:szCs w:val="25"/>
          <w:u w:val="none"/>
          <w:bdr w:val="none" w:color="auto" w:sz="0" w:space="0"/>
        </w:rPr>
        <w:instrText xml:space="preserve"> HYPERLINK "https://mp.weixin.qq.com/s?__biz=MzIwNzc5NzkxMg==&amp;mid=2247594634&amp;idx=1&amp;sn=3481a8b9f3d24712edd08f68c625a23e&amp;scene=21" \l "wechat_redirect" \t "https://mp.weixin.qq.com/_blank" </w:instrText>
      </w:r>
      <w:r>
        <w:rPr>
          <w:color w:val="576B95"/>
          <w:sz w:val="25"/>
          <w:szCs w:val="25"/>
          <w:u w:val="none"/>
          <w:bdr w:val="none" w:color="auto" w:sz="0" w:space="0"/>
        </w:rPr>
        <w:fldChar w:fldCharType="separate"/>
      </w:r>
      <w:r>
        <w:rPr>
          <w:rStyle w:val="8"/>
          <w:color w:val="576B95"/>
          <w:sz w:val="22"/>
          <w:szCs w:val="22"/>
          <w:u w:val="single"/>
          <w:bdr w:val="none" w:color="auto" w:sz="0" w:space="0"/>
        </w:rPr>
        <w:t>广东省药监局召开“中药传承创新发展工作成效”专题新闻发布会</w:t>
      </w:r>
      <w:r>
        <w:rPr>
          <w:color w:val="576B95"/>
          <w:sz w:val="25"/>
          <w:szCs w:val="25"/>
          <w:u w:val="none"/>
          <w:bdr w:val="none" w:color="auto" w:sz="0" w:space="0"/>
        </w:rPr>
        <w:fldChar w:fldCharType="end"/>
      </w:r>
    </w:p>
    <w:p w14:paraId="71E53AAF">
      <w:pPr>
        <w:keepNext w:val="0"/>
        <w:keepLines w:val="0"/>
        <w:widowControl/>
        <w:suppressLineNumbers w:val="0"/>
        <w:spacing w:before="0" w:beforeAutospacing="0" w:after="0" w:afterAutospacing="0"/>
        <w:ind w:left="0" w:right="0"/>
        <w:jc w:val="left"/>
      </w:pPr>
      <w:r>
        <w:rPr>
          <w:rFonts w:ascii="宋体" w:hAnsi="宋体" w:eastAsia="宋体" w:cs="宋体"/>
          <w:kern w:val="0"/>
          <w:sz w:val="25"/>
          <w:szCs w:val="25"/>
          <w:bdr w:val="none" w:color="auto" w:sz="0" w:space="0"/>
          <w:lang w:val="en-US" w:eastAsia="zh-CN" w:bidi="ar"/>
        </w:rPr>
        <w:t> 02</w:t>
      </w:r>
    </w:p>
    <w:p w14:paraId="1C0B6B1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color w:val="576B95"/>
          <w:sz w:val="25"/>
          <w:szCs w:val="25"/>
          <w:u w:val="none"/>
          <w:bdr w:val="none" w:color="auto" w:sz="0" w:space="0"/>
        </w:rPr>
        <w:fldChar w:fldCharType="begin"/>
      </w:r>
      <w:r>
        <w:rPr>
          <w:color w:val="576B95"/>
          <w:sz w:val="25"/>
          <w:szCs w:val="25"/>
          <w:u w:val="none"/>
          <w:bdr w:val="none" w:color="auto" w:sz="0" w:space="0"/>
        </w:rPr>
        <w:instrText xml:space="preserve"> HYPERLINK "https://mp.weixin.qq.com/s?__biz=MzIwNzc5NzkxMg==&amp;mid=2247594891&amp;idx=1&amp;sn=a9d2cc8dd2b9383833e7be0c43ab4dd8&amp;scene=21" \l "wechat_redirect" \t "https://mp.weixin.qq.com/_blank" </w:instrText>
      </w:r>
      <w:r>
        <w:rPr>
          <w:color w:val="576B95"/>
          <w:sz w:val="25"/>
          <w:szCs w:val="25"/>
          <w:u w:val="none"/>
          <w:bdr w:val="none" w:color="auto" w:sz="0" w:space="0"/>
        </w:rPr>
        <w:fldChar w:fldCharType="separate"/>
      </w:r>
      <w:r>
        <w:rPr>
          <w:rStyle w:val="8"/>
          <w:color w:val="576B95"/>
          <w:sz w:val="22"/>
          <w:szCs w:val="22"/>
          <w:u w:val="single"/>
          <w:bdr w:val="none" w:color="auto" w:sz="0" w:space="0"/>
        </w:rPr>
        <w:t>省药品监管局召开药品网络销售风险通报暨监管推进会</w:t>
      </w:r>
      <w:r>
        <w:rPr>
          <w:color w:val="576B95"/>
          <w:sz w:val="25"/>
          <w:szCs w:val="25"/>
          <w:u w:val="none"/>
          <w:bdr w:val="none" w:color="auto" w:sz="0" w:space="0"/>
        </w:rPr>
        <w:fldChar w:fldCharType="end"/>
      </w:r>
    </w:p>
    <w:p w14:paraId="02D29EDD">
      <w:pPr>
        <w:keepNext w:val="0"/>
        <w:keepLines w:val="0"/>
        <w:widowControl/>
        <w:suppressLineNumbers w:val="0"/>
        <w:spacing w:before="0" w:beforeAutospacing="0" w:after="0" w:afterAutospacing="0"/>
        <w:ind w:left="0" w:right="0"/>
        <w:jc w:val="left"/>
      </w:pPr>
      <w:r>
        <w:rPr>
          <w:rFonts w:ascii="宋体" w:hAnsi="宋体" w:eastAsia="宋体" w:cs="宋体"/>
          <w:kern w:val="0"/>
          <w:sz w:val="25"/>
          <w:szCs w:val="25"/>
          <w:bdr w:val="none" w:color="auto" w:sz="0" w:space="0"/>
          <w:lang w:val="en-US" w:eastAsia="zh-CN" w:bidi="ar"/>
        </w:rPr>
        <w:t> 03</w:t>
      </w:r>
    </w:p>
    <w:p w14:paraId="43B4241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color w:val="576B95"/>
          <w:sz w:val="25"/>
          <w:szCs w:val="25"/>
          <w:u w:val="none"/>
          <w:bdr w:val="none" w:color="auto" w:sz="0" w:space="0"/>
        </w:rPr>
        <w:fldChar w:fldCharType="begin"/>
      </w:r>
      <w:r>
        <w:rPr>
          <w:color w:val="576B95"/>
          <w:sz w:val="25"/>
          <w:szCs w:val="25"/>
          <w:u w:val="none"/>
          <w:bdr w:val="none" w:color="auto" w:sz="0" w:space="0"/>
        </w:rPr>
        <w:instrText xml:space="preserve"> HYPERLINK "https://mp.weixin.qq.com/s?__biz=MzIwNzc5NzkxMg==&amp;mid=2247594198&amp;idx=1&amp;sn=3db2f77aaa9c6b3a328459f60f967953&amp;scene=21" \l "wechat_redirect" \t "https://mp.weixin.qq.com/_blank" </w:instrText>
      </w:r>
      <w:r>
        <w:rPr>
          <w:color w:val="576B95"/>
          <w:sz w:val="25"/>
          <w:szCs w:val="25"/>
          <w:u w:val="none"/>
          <w:bdr w:val="none" w:color="auto" w:sz="0" w:space="0"/>
        </w:rPr>
        <w:fldChar w:fldCharType="separate"/>
      </w:r>
      <w:r>
        <w:rPr>
          <w:rStyle w:val="8"/>
          <w:color w:val="576B95"/>
          <w:sz w:val="22"/>
          <w:szCs w:val="22"/>
          <w:u w:val="single"/>
          <w:bdr w:val="none" w:color="auto" w:sz="0" w:space="0"/>
        </w:rPr>
        <w:t>《广东省推进医疗器械临床创新成果转化“春雨行动”实施方案（2026-2028年）》印发</w:t>
      </w:r>
      <w:r>
        <w:rPr>
          <w:color w:val="576B95"/>
          <w:sz w:val="25"/>
          <w:szCs w:val="25"/>
          <w:u w:val="none"/>
          <w:bdr w:val="none" w:color="auto" w:sz="0" w:space="0"/>
        </w:rPr>
        <w:fldChar w:fldCharType="end"/>
      </w:r>
    </w:p>
    <w:p w14:paraId="4BA4F2B9">
      <w:pPr>
        <w:keepNext w:val="0"/>
        <w:keepLines w:val="0"/>
        <w:widowControl/>
        <w:suppressLineNumbers w:val="0"/>
        <w:spacing w:before="0" w:beforeAutospacing="0" w:after="0" w:afterAutospacing="0"/>
        <w:ind w:left="0" w:right="0"/>
        <w:jc w:val="left"/>
      </w:pPr>
      <w:r>
        <w:rPr>
          <w:rFonts w:ascii="宋体" w:hAnsi="宋体" w:eastAsia="宋体" w:cs="宋体"/>
          <w:kern w:val="0"/>
          <w:sz w:val="25"/>
          <w:szCs w:val="25"/>
          <w:bdr w:val="none" w:color="auto" w:sz="0" w:space="0"/>
          <w:lang w:val="en-US" w:eastAsia="zh-CN" w:bidi="ar"/>
        </w:rPr>
        <w:t> 04</w:t>
      </w:r>
    </w:p>
    <w:p w14:paraId="71705F6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color w:val="576B95"/>
          <w:sz w:val="25"/>
          <w:szCs w:val="25"/>
          <w:u w:val="none"/>
          <w:bdr w:val="none" w:color="auto" w:sz="0" w:space="0"/>
        </w:rPr>
        <w:fldChar w:fldCharType="begin"/>
      </w:r>
      <w:r>
        <w:rPr>
          <w:color w:val="576B95"/>
          <w:sz w:val="25"/>
          <w:szCs w:val="25"/>
          <w:u w:val="none"/>
          <w:bdr w:val="none" w:color="auto" w:sz="0" w:space="0"/>
        </w:rPr>
        <w:instrText xml:space="preserve"> HYPERLINK "https://mp.weixin.qq.com/s?__biz=MzIwNzc5NzkxMg==&amp;mid=2247594918&amp;idx=1&amp;sn=712351a51af43af20eb9ae13cb257839&amp;scene=21" \l "wechat_redirect" \t "https://mp.weixin.qq.com/_blank" </w:instrText>
      </w:r>
      <w:r>
        <w:rPr>
          <w:color w:val="576B95"/>
          <w:sz w:val="25"/>
          <w:szCs w:val="25"/>
          <w:u w:val="none"/>
          <w:bdr w:val="none" w:color="auto" w:sz="0" w:space="0"/>
        </w:rPr>
        <w:fldChar w:fldCharType="separate"/>
      </w:r>
      <w:r>
        <w:rPr>
          <w:rStyle w:val="8"/>
          <w:color w:val="576B95"/>
          <w:sz w:val="22"/>
          <w:szCs w:val="22"/>
          <w:u w:val="single"/>
          <w:bdr w:val="none" w:color="auto" w:sz="0" w:space="0"/>
        </w:rPr>
        <w:t>广东2款创新医疗器械获批上市</w:t>
      </w:r>
      <w:r>
        <w:rPr>
          <w:color w:val="576B95"/>
          <w:sz w:val="25"/>
          <w:szCs w:val="25"/>
          <w:u w:val="none"/>
          <w:bdr w:val="none" w:color="auto" w:sz="0" w:space="0"/>
        </w:rPr>
        <w:fldChar w:fldCharType="end"/>
      </w:r>
    </w:p>
    <w:p w14:paraId="5E0F1CD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00" w:afterAutospacing="0"/>
        <w:ind w:left="0" w:right="0" w:firstLine="0"/>
        <w:jc w:val="left"/>
        <w:rPr>
          <w:rFonts w:hint="default" w:ascii="Microsoft YaHei UI" w:hAnsi="Microsoft YaHei UI" w:eastAsia="Microsoft YaHei UI" w:cs="Microsoft YaHei UI"/>
          <w:i w:val="0"/>
          <w:iCs w:val="0"/>
          <w:caps w:val="0"/>
          <w:spacing w:val="0"/>
          <w:sz w:val="24"/>
          <w:szCs w:val="24"/>
        </w:rPr>
      </w:pPr>
    </w:p>
    <w:p w14:paraId="37F3857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PingFangSC-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202"/>
    <w:rsid w:val="00133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GIF"/><Relationship Id="rId6" Type="http://schemas.openxmlformats.org/officeDocument/2006/relationships/image" Target="media/image3.GIF"/><Relationship Id="rId5" Type="http://schemas.openxmlformats.org/officeDocument/2006/relationships/image" Target="media/image2.GIF"/><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2026-08-31T10:00:00Z</dcterms:created>
  <dc:creator>Gs</dc:creator>
  <cp:lastModifiedBy>Gs</cp:lastModifiedBy>
  <dcterms:modified xsi:type="dcterms:W3CDTF">2026-08-31T10:01:17Z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9BC176AB982D4CE29FAA16B415343D89_11</vt:lpwstr>
  </property>
  <property fmtid="{D5CDD505-2E9C-101B-9397-08002B2CF9AE}" pid="4" name="KSOTemplateDocerSaveRecord">
    <vt:lpwstr>eyJoZGlkIjoiZDQ2YzFlMzkyZDg5NzNkMjQwZDFmNWY1Y2FmODM2OGQiLCJ1c2VySWQiOiI2NTQ0MDk3MzkifQ==</vt:lpwstr>
  </property>
</Properties>
</file>