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1D63" w14:textId="77777777" w:rsidR="007E7DA8" w:rsidRPr="007E7DA8" w:rsidRDefault="007E7DA8" w:rsidP="007E7DA8">
      <w:pPr>
        <w:widowControl/>
        <w:spacing w:after="0" w:line="525" w:lineRule="atLeast"/>
        <w:jc w:val="center"/>
        <w:rPr>
          <w:rFonts w:ascii="PingFang SC" w:eastAsia="宋体" w:hAnsi="PingFang SC" w:cs="宋体"/>
          <w:color w:val="1966A7"/>
          <w:kern w:val="0"/>
          <w:sz w:val="36"/>
          <w:szCs w:val="36"/>
          <w14:ligatures w14:val="none"/>
        </w:rPr>
      </w:pPr>
      <w:r w:rsidRPr="007E7DA8">
        <w:rPr>
          <w:rFonts w:ascii="PingFang SC" w:eastAsia="宋体" w:hAnsi="PingFang SC" w:cs="宋体"/>
          <w:color w:val="1966A7"/>
          <w:kern w:val="0"/>
          <w:sz w:val="36"/>
          <w:szCs w:val="36"/>
          <w14:ligatures w14:val="none"/>
        </w:rPr>
        <w:t>关于加强居民死亡医学证明信息登记和电子证照管理工作的通知</w:t>
      </w:r>
    </w:p>
    <w:p w14:paraId="5EC34845" w14:textId="77777777" w:rsidR="007E7DA8" w:rsidRPr="007E7DA8" w:rsidRDefault="007E7DA8" w:rsidP="007E7DA8">
      <w:pPr>
        <w:widowControl/>
        <w:spacing w:after="0" w:line="240" w:lineRule="auto"/>
        <w:jc w:val="center"/>
        <w:rPr>
          <w:rFonts w:ascii="仿宋" w:eastAsia="仿宋" w:hAnsi="仿宋" w:cs="宋体"/>
          <w:color w:val="484848"/>
          <w:kern w:val="0"/>
          <w:sz w:val="32"/>
          <w:szCs w:val="32"/>
          <w14:ligatures w14:val="none"/>
        </w:rPr>
      </w:pPr>
      <w:r w:rsidRPr="007E7DA8">
        <w:rPr>
          <w:rFonts w:ascii="仿宋" w:eastAsia="仿宋" w:hAnsi="仿宋" w:cs="宋体" w:hint="eastAsia"/>
          <w:color w:val="484848"/>
          <w:kern w:val="0"/>
          <w:sz w:val="32"/>
          <w:szCs w:val="32"/>
          <w14:ligatures w14:val="none"/>
        </w:rPr>
        <w:t>国卫规划发〔2026〕5号</w:t>
      </w:r>
    </w:p>
    <w:p w14:paraId="04B85982"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br/>
      </w:r>
    </w:p>
    <w:p w14:paraId="2F4E8CEB" w14:textId="77777777" w:rsidR="007E7DA8" w:rsidRPr="007E7DA8" w:rsidRDefault="007E7DA8" w:rsidP="007E7DA8">
      <w:pPr>
        <w:widowControl/>
        <w:spacing w:after="0" w:line="240" w:lineRule="auto"/>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各省、自治区、直辖市及新疆生产建设兵团卫生健康委、公安厅（局）、民政厅（局）、中医药局、疾控局，委（部、局）机关有关司局、有关直属和联系单位：</w:t>
      </w:r>
    </w:p>
    <w:p w14:paraId="7380F227"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居民死亡医学证明信息登记是明确居民死亡水平、死亡原因及变化规律，加强人口管理的一项基础性工作，是制定社会经济发展规划、评价居民健康水平、优化卫生资源和殡葬设施配置的重要依据。为加强卫生健康、公安、民政等部门居民死亡信息登记协作，规范业务流程，实现信息共享，提高服务意识和管理水平，推动落实“身后一件事”，现将有关事项通知如下：</w:t>
      </w:r>
    </w:p>
    <w:p w14:paraId="34D6B9C1" w14:textId="77777777" w:rsidR="007E7DA8" w:rsidRPr="007E7DA8" w:rsidRDefault="007E7DA8" w:rsidP="007E7DA8">
      <w:pPr>
        <w:widowControl/>
        <w:spacing w:after="0" w:line="240" w:lineRule="auto"/>
        <w:ind w:firstLine="480"/>
        <w:jc w:val="both"/>
        <w:rPr>
          <w:rFonts w:ascii="PingFang SC" w:eastAsia="宋体" w:hAnsi="PingFang SC" w:cs="宋体" w:hint="eastAsia"/>
          <w:color w:val="484848"/>
          <w:kern w:val="0"/>
          <w:sz w:val="32"/>
          <w:szCs w:val="32"/>
          <w14:ligatures w14:val="none"/>
        </w:rPr>
      </w:pPr>
      <w:r w:rsidRPr="007E7DA8">
        <w:rPr>
          <w:rFonts w:ascii="黑体" w:eastAsia="黑体" w:hAnsi="黑体" w:cs="宋体" w:hint="eastAsia"/>
          <w:color w:val="484848"/>
          <w:kern w:val="0"/>
          <w:sz w:val="32"/>
          <w:szCs w:val="32"/>
          <w14:ligatures w14:val="none"/>
        </w:rPr>
        <w:t>一、居民死亡医学证明的管理</w:t>
      </w:r>
    </w:p>
    <w:p w14:paraId="2CA0F70F" w14:textId="77777777" w:rsidR="007E7DA8" w:rsidRPr="007E7DA8" w:rsidRDefault="007E7DA8" w:rsidP="007E7DA8">
      <w:pPr>
        <w:widowControl/>
        <w:spacing w:after="0" w:line="240" w:lineRule="auto"/>
        <w:ind w:firstLine="480"/>
        <w:jc w:val="both"/>
        <w:rPr>
          <w:rFonts w:ascii="仿宋" w:eastAsia="仿宋" w:hAnsi="仿宋" w:cs="宋体"/>
          <w:color w:val="484848"/>
          <w:kern w:val="0"/>
          <w:sz w:val="32"/>
          <w:szCs w:val="32"/>
          <w14:ligatures w14:val="none"/>
        </w:rPr>
      </w:pPr>
      <w:r w:rsidRPr="007E7DA8">
        <w:rPr>
          <w:rFonts w:ascii="仿宋" w:eastAsia="仿宋" w:hAnsi="仿宋" w:cs="宋体" w:hint="eastAsia"/>
          <w:color w:val="484848"/>
          <w:kern w:val="0"/>
          <w:sz w:val="32"/>
          <w:szCs w:val="32"/>
          <w14:ligatures w14:val="none"/>
        </w:rPr>
        <w:t>（一）《居民死亡医学证明》（以下简称《死亡证明》）是医疗卫生机构出具的、说明居民死亡及其原因的医学证明，作为户籍注销、殡葬等人口管理的重要凭证之一，由卫生健康、公安、民政部门共同管理。</w:t>
      </w:r>
    </w:p>
    <w:p w14:paraId="3632BB0A"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（二）《死亡证明》签发单位为负责救治或正常死亡调查的医疗卫生机构。</w:t>
      </w:r>
    </w:p>
    <w:p w14:paraId="533E3823"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lastRenderedPageBreak/>
        <w:t>（三）《死亡证明》签发对象为死亡的中国内地居民、在内地死亡的港澳台居民和外国人（含无国籍人）。</w:t>
      </w:r>
    </w:p>
    <w:p w14:paraId="14FC77D3"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（四）自2026年</w:t>
      </w:r>
      <w:r w:rsidRPr="007E7DA8">
        <w:rPr>
          <w:rFonts w:ascii="仿宋" w:eastAsia="仿宋" w:hAnsi="仿宋" w:cs="Times New Roman" w:hint="eastAsia"/>
          <w:color w:val="484848"/>
          <w:kern w:val="0"/>
          <w:sz w:val="32"/>
          <w:szCs w:val="32"/>
          <w14:ligatures w14:val="none"/>
        </w:rPr>
        <w:t>7</w:t>
      </w:r>
      <w:r w:rsidRPr="007E7DA8">
        <w:rPr>
          <w:rFonts w:ascii="仿宋" w:eastAsia="仿宋" w:hAnsi="仿宋" w:cs="宋体" w:hint="eastAsia"/>
          <w:color w:val="484848"/>
          <w:kern w:val="0"/>
          <w:sz w:val="32"/>
          <w:szCs w:val="32"/>
          <w14:ligatures w14:val="none"/>
        </w:rPr>
        <w:t>月</w:t>
      </w:r>
      <w:r w:rsidRPr="007E7DA8">
        <w:rPr>
          <w:rFonts w:ascii="仿宋" w:eastAsia="仿宋" w:hAnsi="仿宋" w:cs="Times New Roman" w:hint="eastAsia"/>
          <w:color w:val="484848"/>
          <w:kern w:val="0"/>
          <w:sz w:val="32"/>
          <w:szCs w:val="32"/>
          <w14:ligatures w14:val="none"/>
        </w:rPr>
        <w:t>1</w:t>
      </w:r>
      <w:r w:rsidRPr="007E7DA8">
        <w:rPr>
          <w:rFonts w:ascii="仿宋" w:eastAsia="仿宋" w:hAnsi="仿宋" w:cs="宋体" w:hint="eastAsia"/>
          <w:color w:val="484848"/>
          <w:kern w:val="0"/>
          <w:sz w:val="32"/>
          <w:szCs w:val="32"/>
          <w14:ligatures w14:val="none"/>
        </w:rPr>
        <w:t>日起，医疗卫生机构使用全国统一制定的《死亡证明》，电子证照及存根式样、纸质版式样附后（见附件1、</w:t>
      </w:r>
      <w:r w:rsidRPr="007E7DA8">
        <w:rPr>
          <w:rFonts w:ascii="仿宋" w:eastAsia="仿宋" w:hAnsi="仿宋" w:cs="Times New Roman" w:hint="eastAsia"/>
          <w:color w:val="484848"/>
          <w:kern w:val="0"/>
          <w:sz w:val="32"/>
          <w:szCs w:val="32"/>
          <w14:ligatures w14:val="none"/>
        </w:rPr>
        <w:t>2</w:t>
      </w:r>
      <w:r w:rsidRPr="007E7DA8">
        <w:rPr>
          <w:rFonts w:ascii="仿宋" w:eastAsia="仿宋" w:hAnsi="仿宋" w:cs="宋体" w:hint="eastAsia"/>
          <w:color w:val="484848"/>
          <w:kern w:val="0"/>
          <w:sz w:val="32"/>
          <w:szCs w:val="32"/>
          <w14:ligatures w14:val="none"/>
        </w:rPr>
        <w:t>）。</w:t>
      </w:r>
    </w:p>
    <w:p w14:paraId="348D9CB7"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五）实行以公民身份号码为主、其他证件号码为辅的编码方式。医疗卫生机构签发《死亡证明》时，使用居民身份证登载的公民身份号码作为《死亡证明》编码；没有公民身份号码的，可使用护照等其他法定有效证件号码。没有法定有效证件的（未登记户籍或无任何有效身份证件的死亡婴儿或无名尸），</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姓名</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有效身份证件类别</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均填</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无</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，编码规则为证照颁发机构的统一社会信用代码+年流水号（</w:t>
      </w:r>
      <w:r w:rsidRPr="007E7DA8">
        <w:rPr>
          <w:rFonts w:ascii="仿宋" w:eastAsia="仿宋" w:hAnsi="仿宋" w:cs="Times New Roman" w:hint="eastAsia"/>
          <w:color w:val="484848"/>
          <w:kern w:val="0"/>
          <w:sz w:val="32"/>
          <w:szCs w:val="32"/>
          <w14:ligatures w14:val="none"/>
        </w:rPr>
        <w:t>4</w:t>
      </w:r>
      <w:r w:rsidRPr="007E7DA8">
        <w:rPr>
          <w:rFonts w:ascii="仿宋" w:eastAsia="仿宋" w:hAnsi="仿宋" w:cs="宋体" w:hint="eastAsia"/>
          <w:color w:val="484848"/>
          <w:kern w:val="0"/>
          <w:sz w:val="32"/>
          <w:szCs w:val="32"/>
          <w14:ligatures w14:val="none"/>
        </w:rPr>
        <w:t>位）。</w:t>
      </w:r>
    </w:p>
    <w:p w14:paraId="37C1E1C3" w14:textId="77777777" w:rsidR="007E7DA8" w:rsidRPr="007E7DA8" w:rsidRDefault="007E7DA8" w:rsidP="007E7DA8">
      <w:pPr>
        <w:widowControl/>
        <w:spacing w:after="0" w:line="240" w:lineRule="auto"/>
        <w:ind w:firstLine="480"/>
        <w:jc w:val="both"/>
        <w:rPr>
          <w:rFonts w:ascii="PingFang SC" w:eastAsia="宋体" w:hAnsi="PingFang SC" w:cs="宋体" w:hint="eastAsia"/>
          <w:color w:val="484848"/>
          <w:kern w:val="0"/>
          <w:sz w:val="32"/>
          <w:szCs w:val="32"/>
          <w14:ligatures w14:val="none"/>
        </w:rPr>
      </w:pPr>
      <w:r w:rsidRPr="007E7DA8">
        <w:rPr>
          <w:rFonts w:ascii="黑体" w:eastAsia="黑体" w:hAnsi="黑体" w:cs="宋体"/>
          <w:color w:val="484848"/>
          <w:kern w:val="0"/>
          <w:sz w:val="32"/>
          <w:szCs w:val="32"/>
          <w14:ligatures w14:val="none"/>
        </w:rPr>
        <w:t>二、居民死亡医学证明的签发</w:t>
      </w:r>
    </w:p>
    <w:p w14:paraId="23FEC20B" w14:textId="77777777" w:rsidR="007E7DA8" w:rsidRPr="007E7DA8" w:rsidRDefault="007E7DA8" w:rsidP="007E7DA8">
      <w:pPr>
        <w:widowControl/>
        <w:spacing w:after="0" w:line="240" w:lineRule="auto"/>
        <w:ind w:firstLine="480"/>
        <w:jc w:val="both"/>
        <w:rPr>
          <w:rFonts w:ascii="仿宋" w:eastAsia="仿宋" w:hAnsi="仿宋" w:cs="宋体"/>
          <w:color w:val="484848"/>
          <w:kern w:val="0"/>
          <w:sz w:val="32"/>
          <w:szCs w:val="32"/>
          <w14:ligatures w14:val="none"/>
        </w:rPr>
      </w:pPr>
      <w:r w:rsidRPr="007E7DA8">
        <w:rPr>
          <w:rFonts w:ascii="仿宋" w:eastAsia="仿宋" w:hAnsi="仿宋" w:cs="宋体" w:hint="eastAsia"/>
          <w:color w:val="484848"/>
          <w:kern w:val="0"/>
          <w:sz w:val="32"/>
          <w:szCs w:val="32"/>
          <w14:ligatures w14:val="none"/>
        </w:rPr>
        <w:t>（一）《死亡证明》申领人为逝者近亲属，包括逝者配偶、父母、子女、兄弟姐妹、祖父母、外祖父母、孙子女、外孙子女。若逝者近亲属无法到场，可以委托其他法定监护人或其他人员代为申领。逝者无近亲属的，可以由承担监护职责的个人、单位或组织申领《死亡证明》。逝者无近亲属且其他无法定监护人的，可以由其生前所在民政服务机构或村（居）委会等有关单位或组织申领《死亡证明》。</w:t>
      </w:r>
    </w:p>
    <w:p w14:paraId="7F66EF6B"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lastRenderedPageBreak/>
        <w:t>（二）申领《死亡证明》，需提供逝者及逝者近亲属有效身份证件。逝者近亲属委托他人代为申领的，需提供逝者及逝者近亲属有效身份证件，逝者近亲属有效签名的《居民死亡医学证明办理委托书》（见附件3）及被委托人有效身份证件。尚未登记户籍的新生儿死亡，需提供出生医学证明或新生儿母亲住院分娩病历等佐证资料。院外死亡的，还需提供逝者相关病史或案（事）件证明等材料以及逝者近亲属有效签名的《居民死亡医学证明申报单》（见附件4）。</w:t>
      </w:r>
    </w:p>
    <w:p w14:paraId="2AFBCA64"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（三）在医疗卫生机构救治过程中或来院途中正常死亡（含出诊医生到现场已死亡）的，由负责救治的医疗卫生机构（包括院前急救机构）签发《死亡证明》，填写责任人为负责救治的执业（助理）医师。</w:t>
      </w:r>
    </w:p>
    <w:p w14:paraId="1890352C"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四）在家中或其他场所正常死亡的，由死亡所在地乡镇卫生院或社区卫生服务中心等医疗卫生机构根据《居民死亡医学证明申报单》及其对死因的调查情况签发《死亡证明》，填写责任人为负责调查的执业（助理）医师。《居民死亡医学证明申报单》由逝者近亲属、生前所在民政服务机构、村（居）委会等个人、单位或组织负责提供。</w:t>
      </w:r>
    </w:p>
    <w:p w14:paraId="6F54A077"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（五）境外死亡的，逝者近亲属持逝者出入境记录、境外医疗机构出具的相关死亡证明、逝者及本人有效身份证件等材料，向户籍所在地乡镇卫生院或社区卫生服务中心等医疗卫生机构申领《死亡证明》。</w:t>
      </w:r>
    </w:p>
    <w:p w14:paraId="1C9CDA03"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lastRenderedPageBreak/>
        <w:t>（六）公安机关依法处置的非正常死亡案事件（经医疗卫生机构救治的除外），由案事发地公安派出所依据公安机关相关部门调查和检验鉴定结果出具非正常死亡证明。</w:t>
      </w:r>
    </w:p>
    <w:p w14:paraId="48646467"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（七）对于死因已明确的正常死亡，医疗卫生机构应于死亡发生或逝者近亲属申报后一日内签发《死亡证明》。</w:t>
      </w:r>
    </w:p>
    <w:p w14:paraId="4E6CAFEA"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（八）《死亡证明》加盖医疗卫生机构死亡证明专用章后生效，医疗卫生机构必须准确、完整、及时填写《死亡证明》。严禁任何单位和个人伪造、私自涂改。</w:t>
      </w:r>
    </w:p>
    <w:p w14:paraId="3AA57E72"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九）《死亡证明》签发后，逝者近亲属确有证据证明死亡时间、死亡原因或基本信息有误的，凭逝者及本人有效身份证件、逝者病历、居民户口簿等相关证明材料以及原《死亡证明》向原签发单位提出申请，经核实后重新签发1次，原《死亡证明》同时注销。</w:t>
      </w:r>
    </w:p>
    <w:p w14:paraId="79F0BE77"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十）《死亡证明》纸质版遗失的，由原《死亡证明》上的申领人持有效身份证件向原签发单位申请补发一次。如有其他逝者近亲属代办申请补发，须有原申领人的《居民死亡医学证明办理委托书》。补发《死亡证明》纸质版时，需在第一联及补发联</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医疗卫生机构盖章</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栏注明</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补发</w:t>
      </w:r>
      <w:r w:rsidRPr="007E7DA8">
        <w:rPr>
          <w:rFonts w:ascii="仿宋" w:eastAsia="仿宋" w:hAnsi="仿宋" w:cs="Times New Roman" w:hint="eastAsia"/>
          <w:color w:val="484848"/>
          <w:kern w:val="0"/>
          <w:sz w:val="32"/>
          <w:szCs w:val="32"/>
          <w14:ligatures w14:val="none"/>
        </w:rPr>
        <w:t>”</w:t>
      </w:r>
      <w:r w:rsidRPr="007E7DA8">
        <w:rPr>
          <w:rFonts w:ascii="仿宋" w:eastAsia="仿宋" w:hAnsi="仿宋" w:cs="宋体" w:hint="eastAsia"/>
          <w:color w:val="484848"/>
          <w:kern w:val="0"/>
          <w:sz w:val="32"/>
          <w:szCs w:val="32"/>
          <w14:ligatures w14:val="none"/>
        </w:rPr>
        <w:t>及补发时间。已办理户籍注销及殡葬手续的，仅补发第三联；未办理户籍注销及殡葬手续的，补发第二联至第四联。</w:t>
      </w:r>
    </w:p>
    <w:p w14:paraId="23C7E061"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（十一）各地卫生健康部门和医疗卫生机构应当加强信息化建设，2027年</w:t>
      </w:r>
      <w:r w:rsidRPr="007E7DA8">
        <w:rPr>
          <w:rFonts w:ascii="仿宋" w:eastAsia="仿宋" w:hAnsi="仿宋" w:cs="Times New Roman" w:hint="eastAsia"/>
          <w:color w:val="484848"/>
          <w:kern w:val="0"/>
          <w:sz w:val="32"/>
          <w:szCs w:val="32"/>
          <w14:ligatures w14:val="none"/>
        </w:rPr>
        <w:t>1</w:t>
      </w:r>
      <w:r w:rsidRPr="007E7DA8">
        <w:rPr>
          <w:rFonts w:ascii="仿宋" w:eastAsia="仿宋" w:hAnsi="仿宋" w:cs="宋体" w:hint="eastAsia"/>
          <w:color w:val="484848"/>
          <w:kern w:val="0"/>
          <w:sz w:val="32"/>
          <w:szCs w:val="32"/>
          <w14:ligatures w14:val="none"/>
        </w:rPr>
        <w:t>月</w:t>
      </w:r>
      <w:r w:rsidRPr="007E7DA8">
        <w:rPr>
          <w:rFonts w:ascii="仿宋" w:eastAsia="仿宋" w:hAnsi="仿宋" w:cs="Times New Roman" w:hint="eastAsia"/>
          <w:color w:val="484848"/>
          <w:kern w:val="0"/>
          <w:sz w:val="32"/>
          <w:szCs w:val="32"/>
          <w14:ligatures w14:val="none"/>
        </w:rPr>
        <w:t>1</w:t>
      </w:r>
      <w:r w:rsidRPr="007E7DA8">
        <w:rPr>
          <w:rFonts w:ascii="仿宋" w:eastAsia="仿宋" w:hAnsi="仿宋" w:cs="宋体" w:hint="eastAsia"/>
          <w:color w:val="484848"/>
          <w:kern w:val="0"/>
          <w:sz w:val="32"/>
          <w:szCs w:val="32"/>
          <w14:ligatures w14:val="none"/>
        </w:rPr>
        <w:t>日逐步实现《死亡证明》纸质版与</w:t>
      </w:r>
      <w:r w:rsidRPr="007E7DA8">
        <w:rPr>
          <w:rFonts w:ascii="仿宋" w:eastAsia="仿宋" w:hAnsi="仿宋" w:cs="宋体" w:hint="eastAsia"/>
          <w:color w:val="484848"/>
          <w:kern w:val="0"/>
          <w:sz w:val="32"/>
          <w:szCs w:val="32"/>
          <w14:ligatures w14:val="none"/>
        </w:rPr>
        <w:lastRenderedPageBreak/>
        <w:t>电子证照同步签发、便捷使用。医疗卫生机构暂时不具备《死亡证明》电子证照签发条件的，各地可根据实际情况加快区域智慧健康信息平台建设，支撑医疗卫生机构推进《死亡证明》电子证照的签发工作。</w:t>
      </w:r>
    </w:p>
    <w:p w14:paraId="45F7BA89" w14:textId="77777777" w:rsidR="007E7DA8" w:rsidRPr="007E7DA8" w:rsidRDefault="007E7DA8" w:rsidP="007E7DA8">
      <w:pPr>
        <w:widowControl/>
        <w:spacing w:after="0" w:line="240" w:lineRule="auto"/>
        <w:ind w:firstLine="480"/>
        <w:jc w:val="both"/>
        <w:rPr>
          <w:rFonts w:ascii="PingFang SC" w:eastAsia="宋体" w:hAnsi="PingFang SC" w:cs="宋体" w:hint="eastAsia"/>
          <w:color w:val="484848"/>
          <w:kern w:val="0"/>
          <w:sz w:val="32"/>
          <w:szCs w:val="32"/>
          <w14:ligatures w14:val="none"/>
        </w:rPr>
      </w:pPr>
      <w:r w:rsidRPr="007E7DA8">
        <w:rPr>
          <w:rFonts w:ascii="黑体" w:eastAsia="黑体" w:hAnsi="黑体" w:cs="宋体"/>
          <w:color w:val="484848"/>
          <w:kern w:val="0"/>
          <w:sz w:val="32"/>
          <w:szCs w:val="32"/>
          <w14:ligatures w14:val="none"/>
        </w:rPr>
        <w:t>三、居民死亡医学证明的使用</w:t>
      </w:r>
    </w:p>
    <w:p w14:paraId="4BBBF6AE" w14:textId="77777777" w:rsidR="007E7DA8" w:rsidRPr="007E7DA8" w:rsidRDefault="007E7DA8" w:rsidP="007E7DA8">
      <w:pPr>
        <w:widowControl/>
        <w:spacing w:after="0" w:line="240" w:lineRule="auto"/>
        <w:ind w:firstLine="480"/>
        <w:jc w:val="both"/>
        <w:rPr>
          <w:rFonts w:ascii="仿宋" w:eastAsia="仿宋" w:hAnsi="仿宋" w:cs="宋体"/>
          <w:color w:val="484848"/>
          <w:kern w:val="0"/>
          <w:sz w:val="32"/>
          <w:szCs w:val="32"/>
          <w14:ligatures w14:val="none"/>
        </w:rPr>
      </w:pPr>
      <w:r w:rsidRPr="007E7DA8">
        <w:rPr>
          <w:rFonts w:ascii="仿宋" w:eastAsia="仿宋" w:hAnsi="仿宋" w:cs="宋体" w:hint="eastAsia"/>
          <w:color w:val="484848"/>
          <w:kern w:val="0"/>
          <w:sz w:val="32"/>
          <w:szCs w:val="32"/>
          <w14:ligatures w14:val="none"/>
        </w:rPr>
        <w:t>（一）《死亡证明》纸质版与电子证照具有同等法律效力，逝者亲属可持《死亡证明》纸质版或电子证照办理户籍注销和遗体火化手续。</w:t>
      </w:r>
    </w:p>
    <w:p w14:paraId="04F3540C"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（二）逝者亲属持《死亡证明》纸质版第二、三联或电子证照向公安机关申报户籍注销及签章手续。公安机关凭《死亡证明》纸质版第二联或电子证照办理逝者户籍注销手续，加盖第三联公章或电子公章。</w:t>
      </w:r>
    </w:p>
    <w:p w14:paraId="05EBF3E1"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（三）逝者亲属持《死亡证明》纸质版第四联或电子证照到殡仪馆办理遗体接运、火化手续，殡仪馆凭第四联或电子证照办理殡葬手续。</w:t>
      </w:r>
    </w:p>
    <w:p w14:paraId="47F7B5F6"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（四）《死亡证明》纸质版第一联由出具单位按照档案管理相关规定永久保存。第二联由逝者户籍所在地公安机关永久保存。第三联由逝者近亲属保存。第四联由殡仪馆收集保存。</w:t>
      </w:r>
    </w:p>
    <w:p w14:paraId="050C7331"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（五）《死亡证明》纸质版由卫生健康部门统一印制，发放范围为不具备打印条件的医疗卫生机构。</w:t>
      </w:r>
    </w:p>
    <w:p w14:paraId="49ABC397" w14:textId="77777777" w:rsidR="007E7DA8" w:rsidRPr="007E7DA8" w:rsidRDefault="007E7DA8" w:rsidP="007E7DA8">
      <w:pPr>
        <w:widowControl/>
        <w:spacing w:after="0" w:line="240" w:lineRule="auto"/>
        <w:ind w:firstLine="480"/>
        <w:jc w:val="both"/>
        <w:rPr>
          <w:rFonts w:ascii="PingFang SC" w:eastAsia="宋体" w:hAnsi="PingFang SC" w:cs="宋体" w:hint="eastAsia"/>
          <w:color w:val="484848"/>
          <w:kern w:val="0"/>
          <w:sz w:val="32"/>
          <w:szCs w:val="32"/>
          <w14:ligatures w14:val="none"/>
        </w:rPr>
      </w:pPr>
      <w:r w:rsidRPr="007E7DA8">
        <w:rPr>
          <w:rFonts w:ascii="黑体" w:eastAsia="黑体" w:hAnsi="黑体" w:cs="宋体"/>
          <w:color w:val="484848"/>
          <w:kern w:val="0"/>
          <w:sz w:val="32"/>
          <w:szCs w:val="32"/>
          <w14:ligatures w14:val="none"/>
        </w:rPr>
        <w:t>四、居民死亡信息的报告</w:t>
      </w:r>
    </w:p>
    <w:p w14:paraId="5D7B58D0" w14:textId="77777777" w:rsidR="007E7DA8" w:rsidRPr="007E7DA8" w:rsidRDefault="007E7DA8" w:rsidP="007E7DA8">
      <w:pPr>
        <w:widowControl/>
        <w:spacing w:after="0" w:line="240" w:lineRule="auto"/>
        <w:ind w:firstLine="480"/>
        <w:jc w:val="both"/>
        <w:rPr>
          <w:rFonts w:ascii="仿宋" w:eastAsia="仿宋" w:hAnsi="仿宋" w:cs="宋体"/>
          <w:color w:val="484848"/>
          <w:kern w:val="0"/>
          <w:sz w:val="32"/>
          <w:szCs w:val="32"/>
          <w14:ligatures w14:val="none"/>
        </w:rPr>
      </w:pPr>
      <w:r w:rsidRPr="007E7DA8">
        <w:rPr>
          <w:rFonts w:ascii="仿宋" w:eastAsia="仿宋" w:hAnsi="仿宋" w:cs="宋体" w:hint="eastAsia"/>
          <w:color w:val="484848"/>
          <w:kern w:val="0"/>
          <w:sz w:val="32"/>
          <w:szCs w:val="32"/>
          <w14:ligatures w14:val="none"/>
        </w:rPr>
        <w:lastRenderedPageBreak/>
        <w:t>（一）各省、自治区、直辖市及新疆生产建设兵团卫生健康委加强省统筹智慧健康信息平台应用，建立符合国家标准的居民死亡医学证明电子证照相关信息系统。按照国家相关信息安全保护制度要求，保障系统和数据安全，加强用户与权限管理。</w:t>
      </w:r>
    </w:p>
    <w:p w14:paraId="600AFF0C"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二）《死亡证明》信息上报。医疗卫生机构签发《死亡证明》纸质版，应当在15个工作日内通过人口死亡信息登记系统网络报告第一联信息；暂不具备上网条件的医疗卫生机构，在签发《死亡证明》纸质版10个工作日内将《死亡证明》纸质版第一联复印件报送至所在县（区）疾控中心，所在县（区）疾控中心在收到《死亡证明》纸质版第一联复印件5个工作日内代报。医疗卫生机构签发《死亡证明》电子证照，应当在5个工作日内将《死亡证明》电子证照通过省统筹智慧健康信息平台交换至国家智慧健康信息平台。医疗卫生机构签发的《死亡证明》电子证照存根页信息在15个工作日内通过省统筹智慧健康信息平台交换至国家智慧健康信息平台。</w:t>
      </w:r>
    </w:p>
    <w:p w14:paraId="20E7673F"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三）建立信息共享机制。各级卫生健康、公安、民政部门要按照各自职责共享居民正常死亡、非正常死亡、死亡销户、遗体火化等信息。国家卫生健康委和民政部建立居民死亡医学证明信息定期共享机制，在7个工作日内将各省、自治区、直辖市及新疆生产建设兵团上报的居民死亡信息推送</w:t>
      </w:r>
      <w:r w:rsidRPr="007E7DA8">
        <w:rPr>
          <w:rFonts w:ascii="仿宋" w:eastAsia="仿宋" w:hAnsi="仿宋" w:cs="宋体" w:hint="eastAsia"/>
          <w:color w:val="484848"/>
          <w:kern w:val="0"/>
          <w:sz w:val="32"/>
          <w:szCs w:val="32"/>
          <w14:ligatures w14:val="none"/>
        </w:rPr>
        <w:lastRenderedPageBreak/>
        <w:t>至公安部国家人口基础信息库。国家人口基础信息库在7个工作日内将数据基准校核和多源校核结果反馈至各共建部门。中国疾控中心定期将纸质版第一联信息向国家智慧健康信息平台（居民死亡医学证明电子证照信息库）推送。国家卫生健康委统计信息中心定期实现人口死亡信息登记系统与《死亡证明》电子证照存根页信息同步。依托各地政务服务平台，推动卫生健康、公安、民政等部门《死亡证明》共享使用。</w:t>
      </w:r>
    </w:p>
    <w:p w14:paraId="6870A756"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四）开展信息校核工作。各级卫生健康、公安、民政部门应按照各自职责，开展居民死亡信息比对和校核工作。国家卫生健康委负责统一全国居民死亡医学证明信息标准和跨省信息校核。民政部负责遗体火化信息跨省校核。公安部负责依托国家人口基础信息库按照多源校核规则检查核准汇聚的死亡数据。医疗卫生机构相关责任人应对《死亡证明》进行错漏项等逻辑检查，确保填写与上报的信息完整、准确、一致。村（居）委会等承担监护职责的有关组织或单位应当及时向乡镇卫生院、社区卫生服务中心提供在家或其他场所死亡（含新生儿死亡）信息，乡镇卫生院、社区卫生服务中心发现漏报的，应进行调查并及时补报。</w:t>
      </w:r>
    </w:p>
    <w:p w14:paraId="44D08B13"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（五）加强统计分析和利用。各级卫生健康、公安、民政部门要加强对居民死亡数据的分析利用，产出疾病别死亡率、死因顺位等指标，加强人口死亡率、预期寿命等数据测算，</w:t>
      </w:r>
      <w:r w:rsidRPr="007E7DA8">
        <w:rPr>
          <w:rFonts w:ascii="仿宋" w:eastAsia="仿宋" w:hAnsi="仿宋" w:cs="宋体" w:hint="eastAsia"/>
          <w:color w:val="484848"/>
          <w:kern w:val="0"/>
          <w:sz w:val="32"/>
          <w:szCs w:val="32"/>
          <w14:ligatures w14:val="none"/>
        </w:rPr>
        <w:lastRenderedPageBreak/>
        <w:t>为制定人口健康政策与规划、优化卫生资源和殡葬设施配置提供科学依据。强化居民死亡信息规范使用，居民死亡信息不得用于人口管理和统计分析以及政务应用以外的目的，任何单位和个人不得泄露个人隐私信息。</w:t>
      </w:r>
    </w:p>
    <w:p w14:paraId="0F7422E9" w14:textId="77777777" w:rsidR="007E7DA8" w:rsidRPr="007E7DA8" w:rsidRDefault="007E7DA8" w:rsidP="007E7DA8">
      <w:pPr>
        <w:widowControl/>
        <w:spacing w:after="0" w:line="240" w:lineRule="auto"/>
        <w:ind w:firstLine="480"/>
        <w:jc w:val="both"/>
        <w:rPr>
          <w:rFonts w:ascii="PingFang SC" w:eastAsia="宋体" w:hAnsi="PingFang SC" w:cs="宋体" w:hint="eastAsia"/>
          <w:color w:val="484848"/>
          <w:kern w:val="0"/>
          <w:sz w:val="32"/>
          <w:szCs w:val="32"/>
          <w14:ligatures w14:val="none"/>
        </w:rPr>
      </w:pPr>
      <w:r w:rsidRPr="007E7DA8">
        <w:rPr>
          <w:rFonts w:ascii="黑体" w:eastAsia="黑体" w:hAnsi="黑体" w:cs="宋体"/>
          <w:color w:val="484848"/>
          <w:kern w:val="0"/>
          <w:sz w:val="32"/>
          <w:szCs w:val="32"/>
          <w14:ligatures w14:val="none"/>
        </w:rPr>
        <w:t>五、职责分工</w:t>
      </w:r>
    </w:p>
    <w:p w14:paraId="756BF14D" w14:textId="77777777" w:rsidR="007E7DA8" w:rsidRPr="007E7DA8" w:rsidRDefault="007E7DA8" w:rsidP="007E7DA8">
      <w:pPr>
        <w:widowControl/>
        <w:spacing w:after="0" w:line="240" w:lineRule="auto"/>
        <w:ind w:firstLine="480"/>
        <w:jc w:val="both"/>
        <w:rPr>
          <w:rFonts w:ascii="仿宋" w:eastAsia="仿宋" w:hAnsi="仿宋" w:cs="宋体"/>
          <w:color w:val="484848"/>
          <w:kern w:val="0"/>
          <w:sz w:val="32"/>
          <w:szCs w:val="32"/>
          <w14:ligatures w14:val="none"/>
        </w:rPr>
      </w:pPr>
      <w:r w:rsidRPr="007E7DA8">
        <w:rPr>
          <w:rFonts w:ascii="仿宋" w:eastAsia="仿宋" w:hAnsi="仿宋" w:cs="宋体" w:hint="eastAsia"/>
          <w:color w:val="484848"/>
          <w:kern w:val="0"/>
          <w:sz w:val="32"/>
          <w:szCs w:val="32"/>
          <w14:ligatures w14:val="none"/>
        </w:rPr>
        <w:t>（一）国家卫生健康委和省级卫生健康委负责组织协调居民死亡信息登记工作，建立本级居民死亡医学证明电子证照信息库，组织开展数据质量检查和评估，发布居民死亡信息，加强对医疗卫生机构和医师的监督管理，规范《死亡证明》签发以及居民死亡数据的汇聚、发布及共享。地市级及县区级卫生健康部门负责本辖区居民死亡信息登记工作，组织本辖区数据质量检查和评估。各级疾控中心负责本辖区居民死亡信息登记的数据收集、质量控制、统计分析、业务指导、人员培训等工作。中国疾控中心按月向居民死亡医学证明电子证照信息库推送跨省流动居民死亡信息。</w:t>
      </w:r>
    </w:p>
    <w:p w14:paraId="4914FAB4"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二）民政部负责建立遗体火化信息库。地方民政部门负责提供殡葬服务热线电话或殡仪馆服务电话。殡仪馆凭《死亡证明》纸质版或电子证照接运、火化遗体，发现遗体状况与《死亡证明》所载死因明显不符的，及时向公安机关报告。</w:t>
      </w:r>
    </w:p>
    <w:p w14:paraId="44E29C3D"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（三）公安部会同有关部门建立国家人口基础信息库，汇聚国家卫生健康委和民政部推送的居民死亡信息，负责对自然人死亡信息进行多源校核，形成国家级居民死亡人口数据，</w:t>
      </w:r>
      <w:r w:rsidRPr="007E7DA8">
        <w:rPr>
          <w:rFonts w:ascii="仿宋" w:eastAsia="仿宋" w:hAnsi="仿宋" w:cs="宋体" w:hint="eastAsia"/>
          <w:color w:val="484848"/>
          <w:kern w:val="0"/>
          <w:sz w:val="32"/>
          <w:szCs w:val="32"/>
          <w14:ligatures w14:val="none"/>
        </w:rPr>
        <w:lastRenderedPageBreak/>
        <w:t>并通过国家数据共享交换平台与各级政府部门开展信息共享工作。</w:t>
      </w:r>
    </w:p>
    <w:p w14:paraId="4490A9A0"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四）各级卫生健康、公安、民政部门要紧密配合，加强协作，进一步规范《死亡证明》签发与使用、信息报告与共享等工作流程，按照规定公布殡仪馆及其服务网点联系方式，提供便民服务，提高办事效率，逐步实现信息共享和业务协同；建立人员配备、运行保障、经费投入、信息化建设等长效机制，加强对居民死亡医学证明信息登记和电子证照管理工作的领导，确保居民死亡医学证明信息登记的准确性、及时性和电子证照管理效能。</w:t>
      </w:r>
    </w:p>
    <w:p w14:paraId="7CC83451"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（五）各省、自治区、直辖市及新疆生产建设兵团可根据本规范结合当地实际情况制定实施细则。</w:t>
      </w:r>
    </w:p>
    <w:p w14:paraId="278BF56C"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自2026年</w:t>
      </w:r>
      <w:r w:rsidRPr="007E7DA8">
        <w:rPr>
          <w:rFonts w:ascii="仿宋" w:eastAsia="仿宋" w:hAnsi="仿宋" w:cs="Times New Roman" w:hint="eastAsia"/>
          <w:color w:val="484848"/>
          <w:kern w:val="0"/>
          <w:sz w:val="32"/>
          <w:szCs w:val="32"/>
          <w14:ligatures w14:val="none"/>
        </w:rPr>
        <w:t>7</w:t>
      </w:r>
      <w:r w:rsidRPr="007E7DA8">
        <w:rPr>
          <w:rFonts w:ascii="仿宋" w:eastAsia="仿宋" w:hAnsi="仿宋" w:cs="宋体" w:hint="eastAsia"/>
          <w:color w:val="484848"/>
          <w:kern w:val="0"/>
          <w:sz w:val="32"/>
          <w:szCs w:val="32"/>
          <w14:ligatures w14:val="none"/>
        </w:rPr>
        <w:t>月</w:t>
      </w:r>
      <w:r w:rsidRPr="007E7DA8">
        <w:rPr>
          <w:rFonts w:ascii="仿宋" w:eastAsia="仿宋" w:hAnsi="仿宋" w:cs="Times New Roman" w:hint="eastAsia"/>
          <w:color w:val="484848"/>
          <w:kern w:val="0"/>
          <w:sz w:val="32"/>
          <w:szCs w:val="32"/>
          <w14:ligatures w14:val="none"/>
        </w:rPr>
        <w:t>1</w:t>
      </w:r>
      <w:r w:rsidRPr="007E7DA8">
        <w:rPr>
          <w:rFonts w:ascii="仿宋" w:eastAsia="仿宋" w:hAnsi="仿宋" w:cs="宋体" w:hint="eastAsia"/>
          <w:color w:val="484848"/>
          <w:kern w:val="0"/>
          <w:sz w:val="32"/>
          <w:szCs w:val="32"/>
          <w14:ligatures w14:val="none"/>
        </w:rPr>
        <w:t>日起，《国家卫生计生委、公安部、民政部关于进一步规范人口死亡医学证明和信息登记管理工作的通知》（国卫规划发〔2013〕</w:t>
      </w:r>
      <w:r w:rsidRPr="007E7DA8">
        <w:rPr>
          <w:rFonts w:ascii="仿宋" w:eastAsia="仿宋" w:hAnsi="仿宋" w:cs="Times New Roman" w:hint="eastAsia"/>
          <w:color w:val="484848"/>
          <w:kern w:val="0"/>
          <w:sz w:val="32"/>
          <w:szCs w:val="32"/>
          <w14:ligatures w14:val="none"/>
        </w:rPr>
        <w:t>57</w:t>
      </w:r>
      <w:r w:rsidRPr="007E7DA8">
        <w:rPr>
          <w:rFonts w:ascii="仿宋" w:eastAsia="仿宋" w:hAnsi="仿宋" w:cs="宋体" w:hint="eastAsia"/>
          <w:color w:val="484848"/>
          <w:kern w:val="0"/>
          <w:sz w:val="32"/>
          <w:szCs w:val="32"/>
          <w14:ligatures w14:val="none"/>
        </w:rPr>
        <w:t>号）和《国家卫生计生委办公厅关于印发人口死亡信息登记管理规范（试行）的通知》（国卫办规划发〔</w:t>
      </w:r>
      <w:r w:rsidRPr="007E7DA8">
        <w:rPr>
          <w:rFonts w:ascii="仿宋" w:eastAsia="仿宋" w:hAnsi="仿宋" w:cs="Times New Roman" w:hint="eastAsia"/>
          <w:color w:val="484848"/>
          <w:kern w:val="0"/>
          <w:sz w:val="32"/>
          <w:szCs w:val="32"/>
          <w14:ligatures w14:val="none"/>
        </w:rPr>
        <w:t>2014</w:t>
      </w:r>
      <w:r w:rsidRPr="007E7DA8">
        <w:rPr>
          <w:rFonts w:ascii="仿宋" w:eastAsia="仿宋" w:hAnsi="仿宋" w:cs="宋体" w:hint="eastAsia"/>
          <w:color w:val="484848"/>
          <w:kern w:val="0"/>
          <w:sz w:val="32"/>
          <w:szCs w:val="32"/>
          <w14:ligatures w14:val="none"/>
        </w:rPr>
        <w:t>〕</w:t>
      </w:r>
      <w:r w:rsidRPr="007E7DA8">
        <w:rPr>
          <w:rFonts w:ascii="仿宋" w:eastAsia="仿宋" w:hAnsi="仿宋" w:cs="Times New Roman" w:hint="eastAsia"/>
          <w:color w:val="484848"/>
          <w:kern w:val="0"/>
          <w:sz w:val="32"/>
          <w:szCs w:val="32"/>
          <w14:ligatures w14:val="none"/>
        </w:rPr>
        <w:t>68</w:t>
      </w:r>
      <w:r w:rsidRPr="007E7DA8">
        <w:rPr>
          <w:rFonts w:ascii="仿宋" w:eastAsia="仿宋" w:hAnsi="仿宋" w:cs="宋体" w:hint="eastAsia"/>
          <w:color w:val="484848"/>
          <w:kern w:val="0"/>
          <w:sz w:val="32"/>
          <w:szCs w:val="32"/>
          <w14:ligatures w14:val="none"/>
        </w:rPr>
        <w:t>号）失效并停止执行。</w:t>
      </w:r>
    </w:p>
    <w:p w14:paraId="3F52FC96"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p>
    <w:p w14:paraId="6DB0E3DA" w14:textId="1E768EFA" w:rsidR="007E7DA8" w:rsidRPr="007E7DA8" w:rsidRDefault="007E7DA8" w:rsidP="007E7DA8">
      <w:pPr>
        <w:widowControl/>
        <w:spacing w:after="0" w:line="240" w:lineRule="auto"/>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附件：</w:t>
      </w:r>
      <w:r w:rsidRPr="007E7DA8">
        <w:rPr>
          <w:rFonts w:ascii="仿宋" w:eastAsia="仿宋" w:hAnsi="仿宋" w:cs="宋体"/>
          <w:color w:val="484848"/>
          <w:kern w:val="0"/>
          <w:sz w:val="32"/>
          <w:szCs w:val="32"/>
          <w14:ligatures w14:val="none"/>
        </w:rPr>
        <w:fldChar w:fldCharType="begin"/>
      </w:r>
      <w:r w:rsidRPr="007E7DA8">
        <w:rPr>
          <w:rFonts w:ascii="仿宋" w:eastAsia="仿宋" w:hAnsi="仿宋" w:cs="宋体"/>
          <w:color w:val="484848"/>
          <w:kern w:val="0"/>
          <w:sz w:val="32"/>
          <w:szCs w:val="32"/>
          <w14:ligatures w14:val="none"/>
        </w:rPr>
        <w:instrText xml:space="preserve"> INCLUDEPICTURE "https://www.nhc.gov.cn/guihuaxxs/c100133/202602/9daacc59b8494be99a04e1b1fcc69247/images/pdf.gif" \* MERGEFORMATINET </w:instrText>
      </w:r>
      <w:r w:rsidRPr="007E7DA8">
        <w:rPr>
          <w:rFonts w:ascii="仿宋" w:eastAsia="仿宋" w:hAnsi="仿宋" w:cs="宋体"/>
          <w:color w:val="484848"/>
          <w:kern w:val="0"/>
          <w:sz w:val="32"/>
          <w:szCs w:val="32"/>
          <w14:ligatures w14:val="none"/>
        </w:rPr>
        <w:fldChar w:fldCharType="separate"/>
      </w:r>
      <w:r w:rsidRPr="007E7DA8">
        <w:rPr>
          <w:rFonts w:ascii="仿宋" w:eastAsia="仿宋" w:hAnsi="仿宋" w:cs="宋体"/>
          <w:noProof/>
          <w:color w:val="484848"/>
          <w:kern w:val="0"/>
          <w:sz w:val="32"/>
          <w:szCs w:val="32"/>
          <w14:ligatures w14:val="none"/>
        </w:rPr>
        <w:drawing>
          <wp:inline distT="0" distB="0" distL="0" distR="0" wp14:anchorId="286B7E6D" wp14:editId="70C3B152">
            <wp:extent cx="204470" cy="204470"/>
            <wp:effectExtent l="0" t="0" r="0" b="0"/>
            <wp:docPr id="6863660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E7DA8">
        <w:rPr>
          <w:rFonts w:ascii="仿宋" w:eastAsia="仿宋" w:hAnsi="仿宋" w:cs="宋体"/>
          <w:color w:val="484848"/>
          <w:kern w:val="0"/>
          <w:sz w:val="32"/>
          <w:szCs w:val="32"/>
          <w14:ligatures w14:val="none"/>
        </w:rPr>
        <w:fldChar w:fldCharType="end"/>
      </w:r>
      <w:hyperlink r:id="rId5" w:tgtFrame="_blank" w:history="1">
        <w:r w:rsidRPr="007E7DA8">
          <w:rPr>
            <w:rFonts w:ascii="仿宋" w:eastAsia="仿宋" w:hAnsi="仿宋" w:cs="宋体" w:hint="eastAsia"/>
            <w:color w:val="484848"/>
            <w:kern w:val="0"/>
            <w:sz w:val="32"/>
            <w:szCs w:val="32"/>
            <w:u w:val="single"/>
            <w14:ligatures w14:val="none"/>
          </w:rPr>
          <w:t>1.居民死亡医学证明（电子证照）</w:t>
        </w:r>
      </w:hyperlink>
    </w:p>
    <w:p w14:paraId="36220879" w14:textId="7A8E01FD" w:rsidR="007E7DA8" w:rsidRPr="007E7DA8" w:rsidRDefault="007E7DA8" w:rsidP="007E7DA8">
      <w:pPr>
        <w:widowControl/>
        <w:spacing w:after="0" w:line="240" w:lineRule="auto"/>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color w:val="484848"/>
          <w:kern w:val="0"/>
          <w:sz w:val="32"/>
          <w:szCs w:val="32"/>
          <w14:ligatures w14:val="none"/>
        </w:rPr>
        <w:fldChar w:fldCharType="begin"/>
      </w:r>
      <w:r w:rsidRPr="007E7DA8">
        <w:rPr>
          <w:rFonts w:ascii="仿宋" w:eastAsia="仿宋" w:hAnsi="仿宋" w:cs="宋体"/>
          <w:color w:val="484848"/>
          <w:kern w:val="0"/>
          <w:sz w:val="32"/>
          <w:szCs w:val="32"/>
          <w14:ligatures w14:val="none"/>
        </w:rPr>
        <w:instrText xml:space="preserve"> INCLUDEPICTURE "https://www.nhc.gov.cn/guihuaxxs/c100133/202602/9daacc59b8494be99a04e1b1fcc69247/images/pdf.gif" \* MERGEFORMATINET </w:instrText>
      </w:r>
      <w:r w:rsidRPr="007E7DA8">
        <w:rPr>
          <w:rFonts w:ascii="仿宋" w:eastAsia="仿宋" w:hAnsi="仿宋" w:cs="宋体"/>
          <w:color w:val="484848"/>
          <w:kern w:val="0"/>
          <w:sz w:val="32"/>
          <w:szCs w:val="32"/>
          <w14:ligatures w14:val="none"/>
        </w:rPr>
        <w:fldChar w:fldCharType="separate"/>
      </w:r>
      <w:r w:rsidRPr="007E7DA8">
        <w:rPr>
          <w:rFonts w:ascii="仿宋" w:eastAsia="仿宋" w:hAnsi="仿宋" w:cs="宋体"/>
          <w:noProof/>
          <w:color w:val="484848"/>
          <w:kern w:val="0"/>
          <w:sz w:val="32"/>
          <w:szCs w:val="32"/>
          <w14:ligatures w14:val="none"/>
        </w:rPr>
        <w:drawing>
          <wp:inline distT="0" distB="0" distL="0" distR="0" wp14:anchorId="3EDDDA50" wp14:editId="068A1681">
            <wp:extent cx="204470" cy="204470"/>
            <wp:effectExtent l="0" t="0" r="0" b="0"/>
            <wp:docPr id="6270718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E7DA8">
        <w:rPr>
          <w:rFonts w:ascii="仿宋" w:eastAsia="仿宋" w:hAnsi="仿宋" w:cs="宋体"/>
          <w:color w:val="484848"/>
          <w:kern w:val="0"/>
          <w:sz w:val="32"/>
          <w:szCs w:val="32"/>
          <w14:ligatures w14:val="none"/>
        </w:rPr>
        <w:fldChar w:fldCharType="end"/>
      </w:r>
      <w:hyperlink r:id="rId6" w:tgtFrame="_blank" w:history="1">
        <w:r w:rsidRPr="007E7DA8">
          <w:rPr>
            <w:rFonts w:ascii="仿宋" w:eastAsia="仿宋" w:hAnsi="仿宋" w:cs="宋体" w:hint="eastAsia"/>
            <w:color w:val="484848"/>
            <w:kern w:val="0"/>
            <w:sz w:val="32"/>
            <w:szCs w:val="32"/>
            <w:u w:val="single"/>
            <w14:ligatures w14:val="none"/>
          </w:rPr>
          <w:t>2.居民死亡医学证明（纸质版）</w:t>
        </w:r>
      </w:hyperlink>
      <w:r w:rsidRPr="007E7DA8">
        <w:rPr>
          <w:rFonts w:ascii="仿宋" w:eastAsia="仿宋" w:hAnsi="仿宋" w:cs="宋体" w:hint="eastAsia"/>
          <w:color w:val="484848"/>
          <w:kern w:val="0"/>
          <w:sz w:val="32"/>
          <w:szCs w:val="32"/>
          <w14:ligatures w14:val="none"/>
        </w:rPr>
        <w:br/>
      </w:r>
    </w:p>
    <w:p w14:paraId="52ABE18C" w14:textId="7CFFFB48" w:rsidR="007E7DA8" w:rsidRPr="007E7DA8" w:rsidRDefault="007E7DA8" w:rsidP="007E7DA8">
      <w:pPr>
        <w:widowControl/>
        <w:spacing w:after="0" w:line="240" w:lineRule="auto"/>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lastRenderedPageBreak/>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color w:val="484848"/>
          <w:kern w:val="0"/>
          <w:sz w:val="32"/>
          <w:szCs w:val="32"/>
          <w14:ligatures w14:val="none"/>
        </w:rPr>
        <w:fldChar w:fldCharType="begin"/>
      </w:r>
      <w:r w:rsidRPr="007E7DA8">
        <w:rPr>
          <w:rFonts w:ascii="仿宋" w:eastAsia="仿宋" w:hAnsi="仿宋" w:cs="宋体"/>
          <w:color w:val="484848"/>
          <w:kern w:val="0"/>
          <w:sz w:val="32"/>
          <w:szCs w:val="32"/>
          <w14:ligatures w14:val="none"/>
        </w:rPr>
        <w:instrText xml:space="preserve"> INCLUDEPICTURE "https://www.nhc.gov.cn/guihuaxxs/c100133/202602/9daacc59b8494be99a04e1b1fcc69247/images/pdf.gif" \* MERGEFORMATINET </w:instrText>
      </w:r>
      <w:r w:rsidRPr="007E7DA8">
        <w:rPr>
          <w:rFonts w:ascii="仿宋" w:eastAsia="仿宋" w:hAnsi="仿宋" w:cs="宋体"/>
          <w:color w:val="484848"/>
          <w:kern w:val="0"/>
          <w:sz w:val="32"/>
          <w:szCs w:val="32"/>
          <w14:ligatures w14:val="none"/>
        </w:rPr>
        <w:fldChar w:fldCharType="separate"/>
      </w:r>
      <w:r w:rsidRPr="007E7DA8">
        <w:rPr>
          <w:rFonts w:ascii="仿宋" w:eastAsia="仿宋" w:hAnsi="仿宋" w:cs="宋体"/>
          <w:noProof/>
          <w:color w:val="484848"/>
          <w:kern w:val="0"/>
          <w:sz w:val="32"/>
          <w:szCs w:val="32"/>
          <w14:ligatures w14:val="none"/>
        </w:rPr>
        <w:drawing>
          <wp:inline distT="0" distB="0" distL="0" distR="0" wp14:anchorId="600D0A2C" wp14:editId="7B4E1170">
            <wp:extent cx="204470" cy="204470"/>
            <wp:effectExtent l="0" t="0" r="0" b="0"/>
            <wp:docPr id="19565592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E7DA8">
        <w:rPr>
          <w:rFonts w:ascii="仿宋" w:eastAsia="仿宋" w:hAnsi="仿宋" w:cs="宋体"/>
          <w:color w:val="484848"/>
          <w:kern w:val="0"/>
          <w:sz w:val="32"/>
          <w:szCs w:val="32"/>
          <w14:ligatures w14:val="none"/>
        </w:rPr>
        <w:fldChar w:fldCharType="end"/>
      </w:r>
      <w:hyperlink r:id="rId7" w:tgtFrame="_blank" w:history="1">
        <w:r w:rsidRPr="007E7DA8">
          <w:rPr>
            <w:rFonts w:ascii="仿宋" w:eastAsia="仿宋" w:hAnsi="仿宋" w:cs="宋体" w:hint="eastAsia"/>
            <w:color w:val="484848"/>
            <w:kern w:val="0"/>
            <w:sz w:val="32"/>
            <w:szCs w:val="32"/>
            <w:u w:val="single"/>
            <w14:ligatures w14:val="none"/>
          </w:rPr>
          <w:t>3.居民死亡医学证明办理委托书</w:t>
        </w:r>
      </w:hyperlink>
      <w:r w:rsidRPr="007E7DA8">
        <w:rPr>
          <w:rFonts w:ascii="仿宋" w:eastAsia="仿宋" w:hAnsi="仿宋" w:cs="宋体" w:hint="eastAsia"/>
          <w:color w:val="484848"/>
          <w:kern w:val="0"/>
          <w:sz w:val="32"/>
          <w:szCs w:val="32"/>
          <w14:ligatures w14:val="none"/>
        </w:rPr>
        <w:br/>
      </w:r>
    </w:p>
    <w:p w14:paraId="26F89EAA" w14:textId="63A88E9E" w:rsidR="007E7DA8" w:rsidRPr="007E7DA8" w:rsidRDefault="007E7DA8" w:rsidP="007E7DA8">
      <w:pPr>
        <w:widowControl/>
        <w:spacing w:after="0" w:line="240" w:lineRule="auto"/>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color w:val="484848"/>
          <w:kern w:val="0"/>
          <w:sz w:val="32"/>
          <w:szCs w:val="32"/>
          <w14:ligatures w14:val="none"/>
        </w:rPr>
        <w:fldChar w:fldCharType="begin"/>
      </w:r>
      <w:r w:rsidRPr="007E7DA8">
        <w:rPr>
          <w:rFonts w:ascii="仿宋" w:eastAsia="仿宋" w:hAnsi="仿宋" w:cs="宋体"/>
          <w:color w:val="484848"/>
          <w:kern w:val="0"/>
          <w:sz w:val="32"/>
          <w:szCs w:val="32"/>
          <w14:ligatures w14:val="none"/>
        </w:rPr>
        <w:instrText xml:space="preserve"> INCLUDEPICTURE "https://www.nhc.gov.cn/guihuaxxs/c100133/202602/9daacc59b8494be99a04e1b1fcc69247/images/pdf.gif" \* MERGEFORMATINET </w:instrText>
      </w:r>
      <w:r w:rsidRPr="007E7DA8">
        <w:rPr>
          <w:rFonts w:ascii="仿宋" w:eastAsia="仿宋" w:hAnsi="仿宋" w:cs="宋体"/>
          <w:color w:val="484848"/>
          <w:kern w:val="0"/>
          <w:sz w:val="32"/>
          <w:szCs w:val="32"/>
          <w14:ligatures w14:val="none"/>
        </w:rPr>
        <w:fldChar w:fldCharType="separate"/>
      </w:r>
      <w:r w:rsidRPr="007E7DA8">
        <w:rPr>
          <w:rFonts w:ascii="仿宋" w:eastAsia="仿宋" w:hAnsi="仿宋" w:cs="宋体"/>
          <w:noProof/>
          <w:color w:val="484848"/>
          <w:kern w:val="0"/>
          <w:sz w:val="32"/>
          <w:szCs w:val="32"/>
          <w14:ligatures w14:val="none"/>
        </w:rPr>
        <w:drawing>
          <wp:inline distT="0" distB="0" distL="0" distR="0" wp14:anchorId="6F4C3564" wp14:editId="5EE3C926">
            <wp:extent cx="204470" cy="204470"/>
            <wp:effectExtent l="0" t="0" r="0" b="0"/>
            <wp:docPr id="8170909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7E7DA8">
        <w:rPr>
          <w:rFonts w:ascii="仿宋" w:eastAsia="仿宋" w:hAnsi="仿宋" w:cs="宋体"/>
          <w:color w:val="484848"/>
          <w:kern w:val="0"/>
          <w:sz w:val="32"/>
          <w:szCs w:val="32"/>
          <w14:ligatures w14:val="none"/>
        </w:rPr>
        <w:fldChar w:fldCharType="end"/>
      </w:r>
      <w:hyperlink r:id="rId8" w:tgtFrame="_blank" w:history="1">
        <w:r w:rsidRPr="007E7DA8">
          <w:rPr>
            <w:rFonts w:ascii="仿宋" w:eastAsia="仿宋" w:hAnsi="仿宋" w:cs="宋体" w:hint="eastAsia"/>
            <w:color w:val="484848"/>
            <w:kern w:val="0"/>
            <w:sz w:val="32"/>
            <w:szCs w:val="32"/>
            <w:u w:val="single"/>
            <w14:ligatures w14:val="none"/>
          </w:rPr>
          <w:t>4.居民死亡医学证明申报单</w:t>
        </w:r>
      </w:hyperlink>
    </w:p>
    <w:p w14:paraId="2AEB9B54"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p>
    <w:p w14:paraId="2BB2A881"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p>
    <w:p w14:paraId="7FF71F2C" w14:textId="77777777" w:rsidR="007E7DA8" w:rsidRPr="007E7DA8" w:rsidRDefault="007E7DA8" w:rsidP="007E7DA8">
      <w:pPr>
        <w:widowControl/>
        <w:spacing w:after="0" w:line="240" w:lineRule="auto"/>
        <w:ind w:firstLine="480"/>
        <w:jc w:val="both"/>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 </w:t>
      </w:r>
    </w:p>
    <w:p w14:paraId="4673D1AC" w14:textId="77777777" w:rsidR="007E7DA8" w:rsidRPr="007E7DA8" w:rsidRDefault="007E7DA8" w:rsidP="007E7DA8">
      <w:pPr>
        <w:widowControl/>
        <w:spacing w:after="0" w:line="240" w:lineRule="auto"/>
        <w:ind w:firstLine="480"/>
        <w:jc w:val="right"/>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国家卫生健康委</w:t>
      </w:r>
      <w:r w:rsidRPr="007E7DA8">
        <w:rPr>
          <w:rFonts w:ascii="Calibri" w:eastAsia="仿宋" w:hAnsi="Calibri" w:cs="Calibri"/>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公安部</w:t>
      </w:r>
    </w:p>
    <w:p w14:paraId="643F8288" w14:textId="77777777" w:rsidR="007E7DA8" w:rsidRPr="007E7DA8" w:rsidRDefault="007E7DA8" w:rsidP="007E7DA8">
      <w:pPr>
        <w:widowControl/>
        <w:spacing w:after="0" w:line="240" w:lineRule="auto"/>
        <w:ind w:firstLine="480"/>
        <w:jc w:val="right"/>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民政部</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 </w:t>
      </w:r>
      <w:r w:rsidRPr="007E7DA8">
        <w:rPr>
          <w:rFonts w:ascii="仿宋" w:eastAsia="仿宋" w:hAnsi="仿宋" w:cs="宋体" w:hint="eastAsia"/>
          <w:color w:val="484848"/>
          <w:kern w:val="0"/>
          <w:sz w:val="32"/>
          <w:szCs w:val="32"/>
          <w14:ligatures w14:val="none"/>
        </w:rPr>
        <w:t>国家中医药局</w:t>
      </w:r>
    </w:p>
    <w:p w14:paraId="737F8D72" w14:textId="77777777" w:rsidR="007E7DA8" w:rsidRPr="007E7DA8" w:rsidRDefault="007E7DA8" w:rsidP="007E7DA8">
      <w:pPr>
        <w:widowControl/>
        <w:spacing w:after="0" w:line="240" w:lineRule="auto"/>
        <w:ind w:firstLine="480"/>
        <w:jc w:val="right"/>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国家疾控局</w:t>
      </w:r>
    </w:p>
    <w:p w14:paraId="7F6239C8" w14:textId="77777777" w:rsidR="007E7DA8" w:rsidRPr="007E7DA8" w:rsidRDefault="007E7DA8" w:rsidP="007E7DA8">
      <w:pPr>
        <w:widowControl/>
        <w:spacing w:after="0" w:line="240" w:lineRule="auto"/>
        <w:ind w:firstLine="480"/>
        <w:jc w:val="right"/>
        <w:rPr>
          <w:rFonts w:ascii="仿宋" w:eastAsia="仿宋" w:hAnsi="仿宋" w:cs="宋体" w:hint="eastAsia"/>
          <w:color w:val="484848"/>
          <w:kern w:val="0"/>
          <w:sz w:val="32"/>
          <w:szCs w:val="32"/>
          <w14:ligatures w14:val="none"/>
        </w:rPr>
      </w:pPr>
      <w:r w:rsidRPr="007E7DA8">
        <w:rPr>
          <w:rFonts w:ascii="仿宋" w:eastAsia="仿宋" w:hAnsi="仿宋" w:cs="宋体" w:hint="eastAsia"/>
          <w:color w:val="484848"/>
          <w:kern w:val="0"/>
          <w:sz w:val="32"/>
          <w:szCs w:val="32"/>
          <w14:ligatures w14:val="none"/>
        </w:rPr>
        <w:t>2026年2月27日</w:t>
      </w:r>
    </w:p>
    <w:p w14:paraId="372902B2" w14:textId="77777777" w:rsidR="007E7DA8" w:rsidRDefault="007E7DA8"/>
    <w:sectPr w:rsidR="007E7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ingFang SC">
    <w:altName w:val="Cambria"/>
    <w:panose1 w:val="020B0604020202020204"/>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DA8"/>
    <w:rsid w:val="007E7DA8"/>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F2B508"/>
  <w15:chartTrackingRefBased/>
  <w15:docId w15:val="{EDD7E652-1AA8-C54C-B0BF-0821A6A0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D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E7D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E7D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E7D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E7DA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E7DA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E7D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D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D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D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E7D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E7D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E7DA8"/>
    <w:rPr>
      <w:rFonts w:cstheme="majorBidi"/>
      <w:color w:val="0F4761" w:themeColor="accent1" w:themeShade="BF"/>
      <w:sz w:val="28"/>
      <w:szCs w:val="28"/>
    </w:rPr>
  </w:style>
  <w:style w:type="character" w:customStyle="1" w:styleId="50">
    <w:name w:val="标题 5 字符"/>
    <w:basedOn w:val="a0"/>
    <w:link w:val="5"/>
    <w:uiPriority w:val="9"/>
    <w:semiHidden/>
    <w:rsid w:val="007E7DA8"/>
    <w:rPr>
      <w:rFonts w:cstheme="majorBidi"/>
      <w:color w:val="0F4761" w:themeColor="accent1" w:themeShade="BF"/>
      <w:sz w:val="24"/>
    </w:rPr>
  </w:style>
  <w:style w:type="character" w:customStyle="1" w:styleId="60">
    <w:name w:val="标题 6 字符"/>
    <w:basedOn w:val="a0"/>
    <w:link w:val="6"/>
    <w:uiPriority w:val="9"/>
    <w:semiHidden/>
    <w:rsid w:val="007E7DA8"/>
    <w:rPr>
      <w:rFonts w:cstheme="majorBidi"/>
      <w:b/>
      <w:bCs/>
      <w:color w:val="0F4761" w:themeColor="accent1" w:themeShade="BF"/>
    </w:rPr>
  </w:style>
  <w:style w:type="character" w:customStyle="1" w:styleId="70">
    <w:name w:val="标题 7 字符"/>
    <w:basedOn w:val="a0"/>
    <w:link w:val="7"/>
    <w:uiPriority w:val="9"/>
    <w:semiHidden/>
    <w:rsid w:val="007E7DA8"/>
    <w:rPr>
      <w:rFonts w:cstheme="majorBidi"/>
      <w:b/>
      <w:bCs/>
      <w:color w:val="595959" w:themeColor="text1" w:themeTint="A6"/>
    </w:rPr>
  </w:style>
  <w:style w:type="character" w:customStyle="1" w:styleId="80">
    <w:name w:val="标题 8 字符"/>
    <w:basedOn w:val="a0"/>
    <w:link w:val="8"/>
    <w:uiPriority w:val="9"/>
    <w:semiHidden/>
    <w:rsid w:val="007E7DA8"/>
    <w:rPr>
      <w:rFonts w:cstheme="majorBidi"/>
      <w:color w:val="595959" w:themeColor="text1" w:themeTint="A6"/>
    </w:rPr>
  </w:style>
  <w:style w:type="character" w:customStyle="1" w:styleId="90">
    <w:name w:val="标题 9 字符"/>
    <w:basedOn w:val="a0"/>
    <w:link w:val="9"/>
    <w:uiPriority w:val="9"/>
    <w:semiHidden/>
    <w:rsid w:val="007E7DA8"/>
    <w:rPr>
      <w:rFonts w:eastAsiaTheme="majorEastAsia" w:cstheme="majorBidi"/>
      <w:color w:val="595959" w:themeColor="text1" w:themeTint="A6"/>
    </w:rPr>
  </w:style>
  <w:style w:type="paragraph" w:styleId="a3">
    <w:name w:val="Title"/>
    <w:basedOn w:val="a"/>
    <w:next w:val="a"/>
    <w:link w:val="a4"/>
    <w:uiPriority w:val="10"/>
    <w:qFormat/>
    <w:rsid w:val="007E7D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D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DA8"/>
    <w:pPr>
      <w:spacing w:before="160"/>
      <w:jc w:val="center"/>
    </w:pPr>
    <w:rPr>
      <w:i/>
      <w:iCs/>
      <w:color w:val="404040" w:themeColor="text1" w:themeTint="BF"/>
    </w:rPr>
  </w:style>
  <w:style w:type="character" w:customStyle="1" w:styleId="a8">
    <w:name w:val="引用 字符"/>
    <w:basedOn w:val="a0"/>
    <w:link w:val="a7"/>
    <w:uiPriority w:val="29"/>
    <w:rsid w:val="007E7DA8"/>
    <w:rPr>
      <w:i/>
      <w:iCs/>
      <w:color w:val="404040" w:themeColor="text1" w:themeTint="BF"/>
    </w:rPr>
  </w:style>
  <w:style w:type="paragraph" w:styleId="a9">
    <w:name w:val="List Paragraph"/>
    <w:basedOn w:val="a"/>
    <w:uiPriority w:val="34"/>
    <w:qFormat/>
    <w:rsid w:val="007E7DA8"/>
    <w:pPr>
      <w:ind w:left="720"/>
      <w:contextualSpacing/>
    </w:pPr>
  </w:style>
  <w:style w:type="character" w:styleId="aa">
    <w:name w:val="Intense Emphasis"/>
    <w:basedOn w:val="a0"/>
    <w:uiPriority w:val="21"/>
    <w:qFormat/>
    <w:rsid w:val="007E7DA8"/>
    <w:rPr>
      <w:i/>
      <w:iCs/>
      <w:color w:val="0F4761" w:themeColor="accent1" w:themeShade="BF"/>
    </w:rPr>
  </w:style>
  <w:style w:type="paragraph" w:styleId="ab">
    <w:name w:val="Intense Quote"/>
    <w:basedOn w:val="a"/>
    <w:next w:val="a"/>
    <w:link w:val="ac"/>
    <w:uiPriority w:val="30"/>
    <w:qFormat/>
    <w:rsid w:val="007E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E7DA8"/>
    <w:rPr>
      <w:i/>
      <w:iCs/>
      <w:color w:val="0F4761" w:themeColor="accent1" w:themeShade="BF"/>
    </w:rPr>
  </w:style>
  <w:style w:type="character" w:styleId="ad">
    <w:name w:val="Intense Reference"/>
    <w:basedOn w:val="a0"/>
    <w:uiPriority w:val="32"/>
    <w:qFormat/>
    <w:rsid w:val="007E7DA8"/>
    <w:rPr>
      <w:b/>
      <w:bCs/>
      <w:smallCaps/>
      <w:color w:val="0F4761" w:themeColor="accent1" w:themeShade="BF"/>
      <w:spacing w:val="5"/>
    </w:rPr>
  </w:style>
  <w:style w:type="character" w:styleId="ae">
    <w:name w:val="Hyperlink"/>
    <w:basedOn w:val="a0"/>
    <w:uiPriority w:val="99"/>
    <w:semiHidden/>
    <w:unhideWhenUsed/>
    <w:rsid w:val="007E7DA8"/>
    <w:rPr>
      <w:color w:val="0000FF"/>
      <w:u w:val="single"/>
    </w:rPr>
  </w:style>
  <w:style w:type="character" w:customStyle="1" w:styleId="mr">
    <w:name w:val="mr"/>
    <w:basedOn w:val="a0"/>
    <w:rsid w:val="007E7DA8"/>
  </w:style>
  <w:style w:type="paragraph" w:styleId="af">
    <w:name w:val="Normal (Web)"/>
    <w:basedOn w:val="a"/>
    <w:uiPriority w:val="99"/>
    <w:semiHidden/>
    <w:unhideWhenUsed/>
    <w:rsid w:val="007E7DA8"/>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c.gov.cn/guihuaxxs/c100133/202602/9daacc59b8494be99a04e1b1fcc69247/files/4.%E5%B1%85%E6%B0%91%E6%AD%BB%E4%BA%A1%E5%8C%BB%E5%AD%A6%E8%AF%81%E6%98%8E%E7%94%B3%E6%8A%A5%E5%8D%95.pdf" TargetMode="External"/><Relationship Id="rId3" Type="http://schemas.openxmlformats.org/officeDocument/2006/relationships/webSettings" Target="webSettings.xml"/><Relationship Id="rId7" Type="http://schemas.openxmlformats.org/officeDocument/2006/relationships/hyperlink" Target="https://www.nhc.gov.cn/guihuaxxs/c100133/202602/9daacc59b8494be99a04e1b1fcc69247/files/3.%E5%B1%85%E6%B0%91%E6%AD%BB%E4%BA%A1%E5%8C%BB%E5%AD%A6%E8%AF%81%E6%98%8E%E5%8A%9E%E7%90%86%E5%A7%94%E6%89%98%E4%B9%A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c.gov.cn/guihuaxxs/c100133/202602/9daacc59b8494be99a04e1b1fcc69247/files/2.%E5%B1%85%E6%B0%91%E6%AD%BB%E4%BA%A1%E5%8C%BB%E5%AD%A6%E8%AF%81%E6%98%8E%EF%BC%88%E7%BA%B8%E8%B4%A8%E7%89%88%EF%BC%89.pdf" TargetMode="External"/><Relationship Id="rId5" Type="http://schemas.openxmlformats.org/officeDocument/2006/relationships/hyperlink" Target="https://www.nhc.gov.cn/guihuaxxs/c100133/202602/9daacc59b8494be99a04e1b1fcc69247/files/1.%E5%B1%85%E6%B0%91%E6%AD%BB%E4%BA%A1%E5%8C%BB%E5%AD%A6%E8%AF%81%E6%98%8E%EF%BC%88%E7%94%B5%E5%AD%90%E8%AF%81%E7%85%A7%EF%BC%89-20260227100657821.pdf" TargetMode="External"/><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2026-03-02T09:28:00Z</dcterms:created>
  <dcterms:modified xsi:type="dcterms:W3CDTF">2026-03-02T09:32:00Z</dcterms:modified>
</cp:coreProperties>
</file>