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22C5" w14:textId="77777777" w:rsidR="00BD71FC" w:rsidRPr="00BD71FC" w:rsidRDefault="00BD71FC" w:rsidP="00BD71FC">
      <w:pPr>
        <w:widowControl/>
        <w:spacing w:line="525" w:lineRule="atLeast"/>
        <w:jc w:val="center"/>
        <w:rPr>
          <w:rFonts w:ascii="微软雅黑" w:eastAsia="微软雅黑" w:hAnsi="微软雅黑" w:cs="宋体"/>
          <w:noProof w:val="0"/>
          <w:color w:val="1966A7"/>
          <w:kern w:val="0"/>
          <w:sz w:val="36"/>
          <w:szCs w:val="36"/>
        </w:rPr>
      </w:pPr>
      <w:r w:rsidRPr="00BD71FC">
        <w:rPr>
          <w:rFonts w:ascii="微软雅黑" w:eastAsia="微软雅黑" w:hAnsi="微软雅黑" w:cs="宋体" w:hint="eastAsia"/>
          <w:noProof w:val="0"/>
          <w:color w:val="1966A7"/>
          <w:kern w:val="0"/>
          <w:sz w:val="36"/>
          <w:szCs w:val="36"/>
        </w:rPr>
        <w:t>关于开展医养结合促进行动的通知</w:t>
      </w:r>
    </w:p>
    <w:p w14:paraId="04CD2543" w14:textId="77777777" w:rsidR="00BD71FC" w:rsidRPr="00BD71FC" w:rsidRDefault="00BD71FC" w:rsidP="00BD71FC">
      <w:pPr>
        <w:widowControl/>
        <w:jc w:val="center"/>
        <w:rPr>
          <w:rFonts w:ascii="仿宋" w:eastAsia="仿宋" w:hAnsi="仿宋" w:cs="宋体" w:hint="eastAsia"/>
          <w:noProof w:val="0"/>
          <w:color w:val="484848"/>
          <w:kern w:val="0"/>
          <w:sz w:val="32"/>
          <w:szCs w:val="32"/>
        </w:rPr>
      </w:pPr>
      <w:r w:rsidRPr="00BD71FC">
        <w:rPr>
          <w:rFonts w:ascii="仿宋" w:eastAsia="仿宋" w:hAnsi="仿宋" w:cs="宋体" w:hint="eastAsia"/>
          <w:noProof w:val="0"/>
          <w:color w:val="484848"/>
          <w:kern w:val="0"/>
          <w:sz w:val="32"/>
          <w:szCs w:val="32"/>
        </w:rPr>
        <w:t>国卫办老龄发〔2025〕29号</w:t>
      </w:r>
    </w:p>
    <w:p w14:paraId="4D1B1EA1" w14:textId="77777777" w:rsidR="00BD71FC" w:rsidRPr="00BD71FC" w:rsidRDefault="00BD71FC" w:rsidP="00BD71FC">
      <w:pPr>
        <w:widowControl/>
        <w:ind w:firstLine="480"/>
        <w:rPr>
          <w:rFonts w:ascii="仿宋" w:eastAsia="仿宋" w:hAnsi="仿宋" w:cs="宋体" w:hint="eastAsia"/>
          <w:noProof w:val="0"/>
          <w:color w:val="484848"/>
          <w:kern w:val="0"/>
          <w:sz w:val="32"/>
          <w:szCs w:val="32"/>
        </w:rPr>
      </w:pPr>
      <w:r w:rsidRPr="00BD71FC">
        <w:rPr>
          <w:rFonts w:ascii="仿宋" w:eastAsia="仿宋" w:hAnsi="仿宋" w:cs="宋体" w:hint="eastAsia"/>
          <w:b/>
          <w:bCs/>
          <w:noProof w:val="0"/>
          <w:color w:val="484848"/>
          <w:kern w:val="0"/>
          <w:sz w:val="32"/>
          <w:szCs w:val="32"/>
        </w:rPr>
        <w:t> </w:t>
      </w:r>
    </w:p>
    <w:p w14:paraId="2472F589" w14:textId="77777777" w:rsidR="00BD71FC" w:rsidRPr="00BD71FC" w:rsidRDefault="00BD71FC" w:rsidP="00BD71FC">
      <w:pPr>
        <w:widowControl/>
        <w:rPr>
          <w:rFonts w:ascii="仿宋" w:eastAsia="仿宋" w:hAnsi="仿宋" w:cs="宋体" w:hint="eastAsia"/>
          <w:noProof w:val="0"/>
          <w:color w:val="484848"/>
          <w:kern w:val="0"/>
          <w:sz w:val="32"/>
          <w:szCs w:val="32"/>
        </w:rPr>
      </w:pPr>
      <w:r w:rsidRPr="00BD71FC">
        <w:rPr>
          <w:rFonts w:ascii="仿宋" w:eastAsia="仿宋" w:hAnsi="仿宋" w:cs="宋体" w:hint="eastAsia"/>
          <w:noProof w:val="0"/>
          <w:color w:val="484848"/>
          <w:kern w:val="0"/>
          <w:sz w:val="32"/>
          <w:szCs w:val="32"/>
        </w:rPr>
        <w:t>各省、自治区、直辖市及新疆生产建设兵团卫生健康委、民政厅（局）、医保局、中医药局、疾控局：</w:t>
      </w:r>
    </w:p>
    <w:p w14:paraId="69424396" w14:textId="77777777" w:rsidR="00BD71FC" w:rsidRPr="00BD71FC" w:rsidRDefault="00BD71FC" w:rsidP="00BD71FC">
      <w:pPr>
        <w:widowControl/>
        <w:ind w:firstLine="480"/>
        <w:rPr>
          <w:rFonts w:ascii="仿宋" w:eastAsia="仿宋" w:hAnsi="仿宋" w:cs="宋体" w:hint="eastAsia"/>
          <w:noProof w:val="0"/>
          <w:color w:val="484848"/>
          <w:kern w:val="0"/>
          <w:sz w:val="32"/>
          <w:szCs w:val="32"/>
        </w:rPr>
      </w:pPr>
      <w:r w:rsidRPr="00BD71FC">
        <w:rPr>
          <w:rFonts w:ascii="仿宋" w:eastAsia="仿宋" w:hAnsi="仿宋" w:cs="宋体" w:hint="eastAsia"/>
          <w:noProof w:val="0"/>
          <w:color w:val="484848"/>
          <w:kern w:val="0"/>
          <w:sz w:val="32"/>
          <w:szCs w:val="32"/>
        </w:rPr>
        <w:t>为深入贯彻党的二十大和二十届二中、三中全会精神，落实国家卫生健康委等部门《关于促进医养结合服务高质量发展的指导意见》（国卫老龄发〔2024〕</w:t>
      </w:r>
      <w:r w:rsidRPr="00BD71FC">
        <w:rPr>
          <w:rFonts w:ascii="仿宋" w:eastAsia="仿宋" w:hAnsi="仿宋" w:cs="Times New Roman" w:hint="eastAsia"/>
          <w:noProof w:val="0"/>
          <w:color w:val="484848"/>
          <w:kern w:val="0"/>
          <w:sz w:val="32"/>
          <w:szCs w:val="32"/>
        </w:rPr>
        <w:t>40</w:t>
      </w:r>
      <w:r w:rsidRPr="00BD71FC">
        <w:rPr>
          <w:rFonts w:ascii="仿宋" w:eastAsia="仿宋" w:hAnsi="仿宋" w:cs="宋体" w:hint="eastAsia"/>
          <w:noProof w:val="0"/>
          <w:color w:val="484848"/>
          <w:kern w:val="0"/>
          <w:sz w:val="32"/>
          <w:szCs w:val="32"/>
        </w:rPr>
        <w:t>号）要求，进一步扩大医养结合服务供给，提升服务质效，国家卫生健康委、民政部、国家医保局、国家中医药局、国家疾控局决定开展为期3年的医养结合促进行动。到2027年底，实现医养结合政策不断完善，服务体系更加健全，服务供给有效增加，服务能力明显提升，医疗卫生与养老资源进一步共建共享，更好满足老年人健康养老服务需求。现将有关要求通知如下。</w:t>
      </w:r>
    </w:p>
    <w:p w14:paraId="2E27C1E3"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黑体" w:eastAsia="黑体" w:hAnsi="黑体" w:cs="宋体" w:hint="eastAsia"/>
          <w:noProof w:val="0"/>
          <w:color w:val="484848"/>
          <w:kern w:val="0"/>
          <w:sz w:val="32"/>
          <w:szCs w:val="32"/>
        </w:rPr>
        <w:t>一、完善服务资源布局</w:t>
      </w:r>
    </w:p>
    <w:p w14:paraId="4645E6A0"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（一）健全医养结合服务体系。</w:t>
      </w:r>
      <w:r w:rsidRPr="00BD71FC">
        <w:rPr>
          <w:rFonts w:ascii="仿宋" w:eastAsia="仿宋" w:hAnsi="仿宋" w:cs="宋体" w:hint="eastAsia"/>
          <w:noProof w:val="0"/>
          <w:color w:val="484848"/>
          <w:kern w:val="0"/>
          <w:sz w:val="32"/>
          <w:szCs w:val="32"/>
        </w:rPr>
        <w:t>依托现有医疗卫生、养老服务网络，完善医养结合服务体系。鼓励基层医疗卫生机构与养老服务设施统筹规划、毗邻建设。支持医疗卫生机构、养老机构依法依规开展医养结合服务，到2027年底，结合当地人口老龄化程度，推动每个县（市、区、旗）至少有</w:t>
      </w:r>
      <w:r w:rsidRPr="00BD71FC">
        <w:rPr>
          <w:rFonts w:ascii="仿宋" w:eastAsia="仿宋" w:hAnsi="仿宋" w:cs="Times New Roman" w:hint="eastAsia"/>
          <w:noProof w:val="0"/>
          <w:color w:val="484848"/>
          <w:kern w:val="0"/>
          <w:sz w:val="32"/>
          <w:szCs w:val="32"/>
        </w:rPr>
        <w:t>1</w:t>
      </w:r>
      <w:r w:rsidRPr="00BD71FC">
        <w:rPr>
          <w:rFonts w:ascii="仿宋" w:eastAsia="仿宋" w:hAnsi="仿宋" w:cs="宋体" w:hint="eastAsia"/>
          <w:noProof w:val="0"/>
          <w:color w:val="484848"/>
          <w:kern w:val="0"/>
          <w:sz w:val="32"/>
          <w:szCs w:val="32"/>
        </w:rPr>
        <w:t>家医疗卫生机构或养老机构直接开展医养结合服务，基本实现医养结合服务县域全覆盖。</w:t>
      </w:r>
    </w:p>
    <w:p w14:paraId="02AD54B5"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lastRenderedPageBreak/>
        <w:t>（二）支持拓展医养结合功能。</w:t>
      </w:r>
      <w:r w:rsidRPr="00BD71FC">
        <w:rPr>
          <w:rFonts w:ascii="仿宋" w:eastAsia="仿宋" w:hAnsi="仿宋" w:cs="宋体" w:hint="eastAsia"/>
          <w:noProof w:val="0"/>
          <w:color w:val="484848"/>
          <w:kern w:val="0"/>
          <w:sz w:val="32"/>
          <w:szCs w:val="32"/>
        </w:rPr>
        <w:t>在严格制定落实区域卫生规划和医疗机构设置规划指导原则的基础上，及时优化调整二级公立医院的发展方向和功能定位，积极发展医养结合等医疗资源和专业力量。引导推动医疗资源较丰富地区的部分二级及以下医疗卫生机构转型为康复医院、护理院，引导县区级医疗卫生机构开展医养结合服务。支持符合条件的养老机构通过内设医务室、护理站等方式拓展医养结合服务。根据养老机构内设医疗机构需要，依法依规赋予相应处方权。</w:t>
      </w:r>
    </w:p>
    <w:p w14:paraId="4E97494B"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（三）深化医联体内医养协作。</w:t>
      </w:r>
      <w:r w:rsidRPr="00BD71FC">
        <w:rPr>
          <w:rFonts w:ascii="仿宋" w:eastAsia="仿宋" w:hAnsi="仿宋" w:cs="宋体" w:hint="eastAsia"/>
          <w:noProof w:val="0"/>
          <w:color w:val="484848"/>
          <w:kern w:val="0"/>
          <w:sz w:val="32"/>
          <w:szCs w:val="32"/>
        </w:rPr>
        <w:t>支持将医养结合机构（指同时具备医疗卫生资质、进行养老机构备案的医疗卫生机构或养老机构，下同）纳入紧密型医联体统一管理，实现医联体内转诊、医疗、康复、护理、安宁疗护、用药、养老等服务衔接。到2027年底，符合条件且具备意愿的医养结合机构原则上均纳入紧密型医联体。</w:t>
      </w:r>
    </w:p>
    <w:p w14:paraId="1CE39C2A"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黑体" w:eastAsia="黑体" w:hAnsi="黑体" w:cs="宋体" w:hint="eastAsia"/>
          <w:noProof w:val="0"/>
          <w:color w:val="484848"/>
          <w:kern w:val="0"/>
          <w:sz w:val="32"/>
          <w:szCs w:val="32"/>
        </w:rPr>
        <w:t>二、加强人才队伍建设</w:t>
      </w:r>
    </w:p>
    <w:p w14:paraId="62EAC089"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（四）扩大专业人才培养规模。</w:t>
      </w:r>
      <w:r w:rsidRPr="00BD71FC">
        <w:rPr>
          <w:rFonts w:ascii="仿宋" w:eastAsia="仿宋" w:hAnsi="仿宋" w:cs="宋体" w:hint="eastAsia"/>
          <w:noProof w:val="0"/>
          <w:color w:val="484848"/>
          <w:kern w:val="0"/>
          <w:sz w:val="32"/>
          <w:szCs w:val="32"/>
        </w:rPr>
        <w:t>落实《教育部办公厅、国家卫生健康委办公厅关于加强高等职业教育医养照护与管理专业建设工作的通知》（教职成〔2025〕</w:t>
      </w:r>
      <w:r w:rsidRPr="00BD71FC">
        <w:rPr>
          <w:rFonts w:ascii="仿宋" w:eastAsia="仿宋" w:hAnsi="仿宋" w:cs="Times New Roman" w:hint="eastAsia"/>
          <w:noProof w:val="0"/>
          <w:color w:val="484848"/>
          <w:kern w:val="0"/>
          <w:sz w:val="32"/>
          <w:szCs w:val="32"/>
        </w:rPr>
        <w:t>1</w:t>
      </w:r>
      <w:r w:rsidRPr="00BD71FC">
        <w:rPr>
          <w:rFonts w:ascii="仿宋" w:eastAsia="仿宋" w:hAnsi="仿宋" w:cs="宋体" w:hint="eastAsia"/>
          <w:noProof w:val="0"/>
          <w:color w:val="484848"/>
          <w:kern w:val="0"/>
          <w:sz w:val="32"/>
          <w:szCs w:val="32"/>
        </w:rPr>
        <w:t>号），国家和各地联动，引导和支持本地高等院校和职业学校开设医养照护与管理、养老服务管理、智慧健康养老服务与管理等相关专业，医养结合机构积极支持教师实践、学生实习。到2027年底，全国累计新增医养照护与管理专业布点不少于</w:t>
      </w:r>
      <w:r w:rsidRPr="00BD71FC">
        <w:rPr>
          <w:rFonts w:ascii="仿宋" w:eastAsia="仿宋" w:hAnsi="仿宋" w:cs="Times New Roman" w:hint="eastAsia"/>
          <w:noProof w:val="0"/>
          <w:color w:val="484848"/>
          <w:kern w:val="0"/>
          <w:sz w:val="32"/>
          <w:szCs w:val="32"/>
        </w:rPr>
        <w:t>30</w:t>
      </w:r>
      <w:r w:rsidRPr="00BD71FC">
        <w:rPr>
          <w:rFonts w:ascii="仿宋" w:eastAsia="仿宋" w:hAnsi="仿宋" w:cs="宋体" w:hint="eastAsia"/>
          <w:noProof w:val="0"/>
          <w:color w:val="484848"/>
          <w:kern w:val="0"/>
          <w:sz w:val="32"/>
          <w:szCs w:val="32"/>
        </w:rPr>
        <w:t>个。</w:t>
      </w:r>
    </w:p>
    <w:p w14:paraId="62E93A55"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lastRenderedPageBreak/>
        <w:t>（五）提升从业人员专业水平。</w:t>
      </w:r>
      <w:r w:rsidRPr="00BD71FC">
        <w:rPr>
          <w:rFonts w:ascii="仿宋" w:eastAsia="仿宋" w:hAnsi="仿宋" w:cs="宋体" w:hint="eastAsia"/>
          <w:noProof w:val="0"/>
          <w:color w:val="484848"/>
          <w:kern w:val="0"/>
          <w:sz w:val="32"/>
          <w:szCs w:val="32"/>
        </w:rPr>
        <w:t>开展老年医学人才、医养结合人才、养老服务技能人才、长期照护人才等能力提升培训，对医养结合从业人员开展继续教育。各地要加大培训力度，到2027年底，基本完成辖区内医养结合机构管理人员、专业技术人员培训全覆盖。鼓励医养结合机构配备营养指导员，为老年人提供膳食指导和咨询，指导营养配餐，对低体重、高龄等老年人开展营养干预。</w:t>
      </w:r>
    </w:p>
    <w:p w14:paraId="286FC4AB"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（六）开展健康教育和照护技能培训。</w:t>
      </w:r>
      <w:r w:rsidRPr="00BD71FC">
        <w:rPr>
          <w:rFonts w:ascii="仿宋" w:eastAsia="仿宋" w:hAnsi="仿宋" w:cs="宋体" w:hint="eastAsia"/>
          <w:noProof w:val="0"/>
          <w:color w:val="484848"/>
          <w:kern w:val="0"/>
          <w:sz w:val="32"/>
          <w:szCs w:val="32"/>
        </w:rPr>
        <w:t>各地利用综合性医院老年医学科、养老服务机构、老年大学、社区教育机构等，开设</w:t>
      </w:r>
      <w:r w:rsidRPr="00BD71FC">
        <w:rPr>
          <w:rFonts w:ascii="仿宋" w:eastAsia="仿宋" w:hAnsi="仿宋" w:cs="Times New Roman" w:hint="eastAsia"/>
          <w:noProof w:val="0"/>
          <w:color w:val="484848"/>
          <w:kern w:val="0"/>
          <w:sz w:val="32"/>
          <w:szCs w:val="32"/>
        </w:rPr>
        <w:t>“</w:t>
      </w:r>
      <w:r w:rsidRPr="00BD71FC">
        <w:rPr>
          <w:rFonts w:ascii="仿宋" w:eastAsia="仿宋" w:hAnsi="仿宋" w:cs="宋体" w:hint="eastAsia"/>
          <w:noProof w:val="0"/>
          <w:color w:val="484848"/>
          <w:kern w:val="0"/>
          <w:sz w:val="32"/>
          <w:szCs w:val="32"/>
        </w:rPr>
        <w:t>医养结合课堂</w:t>
      </w:r>
      <w:r w:rsidRPr="00BD71FC">
        <w:rPr>
          <w:rFonts w:ascii="仿宋" w:eastAsia="仿宋" w:hAnsi="仿宋" w:cs="Times New Roman" w:hint="eastAsia"/>
          <w:noProof w:val="0"/>
          <w:color w:val="484848"/>
          <w:kern w:val="0"/>
          <w:sz w:val="32"/>
          <w:szCs w:val="32"/>
        </w:rPr>
        <w:t>”</w:t>
      </w:r>
      <w:r w:rsidRPr="00BD71FC">
        <w:rPr>
          <w:rFonts w:ascii="仿宋" w:eastAsia="仿宋" w:hAnsi="仿宋" w:cs="宋体" w:hint="eastAsia"/>
          <w:noProof w:val="0"/>
          <w:color w:val="484848"/>
          <w:kern w:val="0"/>
          <w:sz w:val="32"/>
          <w:szCs w:val="32"/>
        </w:rPr>
        <w:t>，结合敬老月、世界阿尔茨海默病月、老年健康宣传周、重阳节等活动，对老年人及照护者开展健康教育和技能培训。医养结合机构面向入住老年人、家属及社区居民、家庭照护者等，每月至少开展1次健康教育或技能培训，内容包括时令节气健康指导、老年常见病慢性病自我管理、跌倒等意外伤害预防、认知障碍预防与干预、中医药养生保健等。</w:t>
      </w:r>
    </w:p>
    <w:p w14:paraId="62D89C46"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黑体" w:eastAsia="黑体" w:hAnsi="黑体" w:cs="宋体" w:hint="eastAsia"/>
          <w:noProof w:val="0"/>
          <w:color w:val="484848"/>
          <w:kern w:val="0"/>
          <w:sz w:val="32"/>
          <w:szCs w:val="32"/>
        </w:rPr>
        <w:t>三、发展居家和社区服务</w:t>
      </w:r>
    </w:p>
    <w:p w14:paraId="2AF02690"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（七）加强老年人健康管理。</w:t>
      </w:r>
      <w:r w:rsidRPr="00BD71FC">
        <w:rPr>
          <w:rFonts w:ascii="仿宋" w:eastAsia="仿宋" w:hAnsi="仿宋" w:cs="宋体" w:hint="eastAsia"/>
          <w:noProof w:val="0"/>
          <w:color w:val="484848"/>
          <w:kern w:val="0"/>
          <w:sz w:val="32"/>
          <w:szCs w:val="32"/>
        </w:rPr>
        <w:t>扎实开展老年人健康管理服务等项目，为城乡社区65岁及以上老年人规范提供健康管理服务的覆盖面不断扩大。根据健康状况分类分级提供健康管理服务，规范开展老年人中医药健康管理服务。</w:t>
      </w:r>
    </w:p>
    <w:p w14:paraId="5A0422D3"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lastRenderedPageBreak/>
        <w:t>（八）提升家庭医生签约质效。</w:t>
      </w:r>
      <w:r w:rsidRPr="00BD71FC">
        <w:rPr>
          <w:rFonts w:ascii="仿宋" w:eastAsia="仿宋" w:hAnsi="仿宋" w:cs="宋体" w:hint="eastAsia"/>
          <w:noProof w:val="0"/>
          <w:color w:val="484848"/>
          <w:kern w:val="0"/>
          <w:sz w:val="32"/>
          <w:szCs w:val="32"/>
        </w:rPr>
        <w:t>基层医疗卫生机构要优化家庭医生签约服务，为65岁及以上老年人提供预约转诊等便捷服务。社区养老服务机构、社区养老顾问、志愿者等要积极协助家庭医生开展上门服务。推动家庭医生签约服务走进养老机构，提供健康知识宣教、健康管理咨询、中医适宜技术体验、食养药膳指导。支持在养老机构设置家庭医生工作站，养老护理员、社工等服务人员与家庭医生团队及时沟通信息，协同做好签约老年人健康维护。到2027年底，失能、高龄、残疾等特殊困难老年人家庭医生签约覆盖率不低于</w:t>
      </w:r>
      <w:r w:rsidRPr="00BD71FC">
        <w:rPr>
          <w:rFonts w:ascii="仿宋" w:eastAsia="仿宋" w:hAnsi="仿宋" w:cs="Times New Roman" w:hint="eastAsia"/>
          <w:noProof w:val="0"/>
          <w:color w:val="484848"/>
          <w:kern w:val="0"/>
          <w:sz w:val="32"/>
          <w:szCs w:val="32"/>
        </w:rPr>
        <w:t>80%</w:t>
      </w:r>
      <w:r w:rsidRPr="00BD71FC">
        <w:rPr>
          <w:rFonts w:ascii="仿宋" w:eastAsia="仿宋" w:hAnsi="仿宋" w:cs="宋体" w:hint="eastAsia"/>
          <w:noProof w:val="0"/>
          <w:color w:val="484848"/>
          <w:kern w:val="0"/>
          <w:sz w:val="32"/>
          <w:szCs w:val="32"/>
        </w:rPr>
        <w:t>。</w:t>
      </w:r>
    </w:p>
    <w:p w14:paraId="6BB8E18D"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（九）提供社区嵌入服务。</w:t>
      </w:r>
      <w:r w:rsidRPr="00BD71FC">
        <w:rPr>
          <w:rFonts w:ascii="仿宋" w:eastAsia="仿宋" w:hAnsi="仿宋" w:cs="宋体" w:hint="eastAsia"/>
          <w:noProof w:val="0"/>
          <w:color w:val="484848"/>
          <w:kern w:val="0"/>
          <w:sz w:val="32"/>
          <w:szCs w:val="32"/>
        </w:rPr>
        <w:t>提升居家和社区基本养老服务能力，利用现有社区养老服务设施为辖区内老年重点人群提供助餐、助洁、助行、助浴、助医、助急等服务。推进</w:t>
      </w:r>
      <w:r w:rsidRPr="00BD71FC">
        <w:rPr>
          <w:rFonts w:ascii="仿宋" w:eastAsia="仿宋" w:hAnsi="仿宋" w:cs="Times New Roman" w:hint="eastAsia"/>
          <w:noProof w:val="0"/>
          <w:color w:val="484848"/>
          <w:kern w:val="0"/>
          <w:sz w:val="32"/>
          <w:szCs w:val="32"/>
        </w:rPr>
        <w:t>“</w:t>
      </w:r>
      <w:r w:rsidRPr="00BD71FC">
        <w:rPr>
          <w:rFonts w:ascii="仿宋" w:eastAsia="仿宋" w:hAnsi="仿宋" w:cs="宋体" w:hint="eastAsia"/>
          <w:noProof w:val="0"/>
          <w:color w:val="484848"/>
          <w:kern w:val="0"/>
          <w:sz w:val="32"/>
          <w:szCs w:val="32"/>
        </w:rPr>
        <w:t>互联网</w:t>
      </w:r>
      <w:r w:rsidRPr="00BD71FC">
        <w:rPr>
          <w:rFonts w:ascii="仿宋" w:eastAsia="仿宋" w:hAnsi="仿宋" w:cs="Times New Roman" w:hint="eastAsia"/>
          <w:noProof w:val="0"/>
          <w:color w:val="484848"/>
          <w:kern w:val="0"/>
          <w:sz w:val="32"/>
          <w:szCs w:val="32"/>
        </w:rPr>
        <w:t>+</w:t>
      </w:r>
      <w:r w:rsidRPr="00BD71FC">
        <w:rPr>
          <w:rFonts w:ascii="仿宋" w:eastAsia="仿宋" w:hAnsi="仿宋" w:cs="宋体" w:hint="eastAsia"/>
          <w:noProof w:val="0"/>
          <w:color w:val="484848"/>
          <w:kern w:val="0"/>
          <w:sz w:val="32"/>
          <w:szCs w:val="32"/>
        </w:rPr>
        <w:t>医疗健康</w:t>
      </w:r>
      <w:r w:rsidRPr="00BD71FC">
        <w:rPr>
          <w:rFonts w:ascii="仿宋" w:eastAsia="仿宋" w:hAnsi="仿宋" w:cs="Times New Roman" w:hint="eastAsia"/>
          <w:noProof w:val="0"/>
          <w:color w:val="484848"/>
          <w:kern w:val="0"/>
          <w:sz w:val="32"/>
          <w:szCs w:val="32"/>
        </w:rPr>
        <w:t>”“</w:t>
      </w:r>
      <w:r w:rsidRPr="00BD71FC">
        <w:rPr>
          <w:rFonts w:ascii="仿宋" w:eastAsia="仿宋" w:hAnsi="仿宋" w:cs="宋体" w:hint="eastAsia"/>
          <w:noProof w:val="0"/>
          <w:color w:val="484848"/>
          <w:kern w:val="0"/>
          <w:sz w:val="32"/>
          <w:szCs w:val="32"/>
        </w:rPr>
        <w:t>互联网</w:t>
      </w:r>
      <w:r w:rsidRPr="00BD71FC">
        <w:rPr>
          <w:rFonts w:ascii="仿宋" w:eastAsia="仿宋" w:hAnsi="仿宋" w:cs="Times New Roman" w:hint="eastAsia"/>
          <w:noProof w:val="0"/>
          <w:color w:val="484848"/>
          <w:kern w:val="0"/>
          <w:sz w:val="32"/>
          <w:szCs w:val="32"/>
        </w:rPr>
        <w:t>+</w:t>
      </w:r>
      <w:r w:rsidRPr="00BD71FC">
        <w:rPr>
          <w:rFonts w:ascii="仿宋" w:eastAsia="仿宋" w:hAnsi="仿宋" w:cs="宋体" w:hint="eastAsia"/>
          <w:noProof w:val="0"/>
          <w:color w:val="484848"/>
          <w:kern w:val="0"/>
          <w:sz w:val="32"/>
          <w:szCs w:val="32"/>
        </w:rPr>
        <w:t>护理服务</w:t>
      </w:r>
      <w:r w:rsidRPr="00BD71FC">
        <w:rPr>
          <w:rFonts w:ascii="仿宋" w:eastAsia="仿宋" w:hAnsi="仿宋" w:cs="Times New Roman" w:hint="eastAsia"/>
          <w:noProof w:val="0"/>
          <w:color w:val="484848"/>
          <w:kern w:val="0"/>
          <w:sz w:val="32"/>
          <w:szCs w:val="32"/>
        </w:rPr>
        <w:t>”</w:t>
      </w:r>
      <w:r w:rsidRPr="00BD71FC">
        <w:rPr>
          <w:rFonts w:ascii="仿宋" w:eastAsia="仿宋" w:hAnsi="仿宋" w:cs="宋体" w:hint="eastAsia"/>
          <w:noProof w:val="0"/>
          <w:color w:val="484848"/>
          <w:kern w:val="0"/>
          <w:sz w:val="32"/>
          <w:szCs w:val="32"/>
        </w:rPr>
        <w:t>，为有需求的老年人提供居家医疗服务。</w:t>
      </w:r>
    </w:p>
    <w:p w14:paraId="2EB1C374"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黑体" w:eastAsia="黑体" w:hAnsi="黑体" w:cs="宋体" w:hint="eastAsia"/>
          <w:noProof w:val="0"/>
          <w:color w:val="484848"/>
          <w:kern w:val="0"/>
          <w:sz w:val="32"/>
          <w:szCs w:val="32"/>
        </w:rPr>
        <w:t>四、拓展服务供给</w:t>
      </w:r>
    </w:p>
    <w:p w14:paraId="74A3FBE6"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（十）深化医疗养老机构服务有效衔接。</w:t>
      </w:r>
      <w:r w:rsidRPr="00BD71FC">
        <w:rPr>
          <w:rFonts w:ascii="仿宋" w:eastAsia="仿宋" w:hAnsi="仿宋" w:cs="宋体" w:hint="eastAsia"/>
          <w:noProof w:val="0"/>
          <w:color w:val="484848"/>
          <w:kern w:val="0"/>
          <w:sz w:val="32"/>
          <w:szCs w:val="32"/>
        </w:rPr>
        <w:t>各地卫生健康、民政等部门要指导医疗卫生机构与养老机构建立协议合作关系，明确医疗机构和养老机构之间的服务衔接机制，发挥医疗卫生机构老年医学科、康复科、全科、中医科等医师作用，强化整合照护，持续简化转诊就医流程。养老机构可作为医疗卫生机构老年患者出院后的康复场所。支持县级或乡</w:t>
      </w:r>
      <w:r w:rsidRPr="00BD71FC">
        <w:rPr>
          <w:rFonts w:ascii="仿宋" w:eastAsia="仿宋" w:hAnsi="仿宋" w:cs="宋体" w:hint="eastAsia"/>
          <w:noProof w:val="0"/>
          <w:color w:val="484848"/>
          <w:kern w:val="0"/>
          <w:sz w:val="32"/>
          <w:szCs w:val="32"/>
        </w:rPr>
        <w:lastRenderedPageBreak/>
        <w:t>镇医疗卫生机构与养老机构合作共建，实现医疗、康复、护理、养老服务资源高效协同。到2027年底，基本实现有意愿与基层医疗卫生机构合作的养老机构签约全覆盖。</w:t>
      </w:r>
    </w:p>
    <w:p w14:paraId="5203A0B0"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（十一）深化中医药医养结合服务。</w:t>
      </w:r>
      <w:r w:rsidRPr="00BD71FC">
        <w:rPr>
          <w:rFonts w:ascii="仿宋" w:eastAsia="仿宋" w:hAnsi="仿宋" w:cs="宋体" w:hint="eastAsia"/>
          <w:noProof w:val="0"/>
          <w:color w:val="484848"/>
          <w:kern w:val="0"/>
          <w:sz w:val="32"/>
          <w:szCs w:val="32"/>
        </w:rPr>
        <w:t>发挥中医治未病优势，医养结合机构中的基层医疗卫生机构规范开展4类</w:t>
      </w:r>
      <w:r w:rsidRPr="00BD71FC">
        <w:rPr>
          <w:rFonts w:ascii="仿宋" w:eastAsia="仿宋" w:hAnsi="仿宋" w:cs="Times New Roman" w:hint="eastAsia"/>
          <w:noProof w:val="0"/>
          <w:color w:val="484848"/>
          <w:kern w:val="0"/>
          <w:sz w:val="32"/>
          <w:szCs w:val="32"/>
        </w:rPr>
        <w:t>6</w:t>
      </w:r>
      <w:r w:rsidRPr="00BD71FC">
        <w:rPr>
          <w:rFonts w:ascii="仿宋" w:eastAsia="仿宋" w:hAnsi="仿宋" w:cs="宋体" w:hint="eastAsia"/>
          <w:noProof w:val="0"/>
          <w:color w:val="484848"/>
          <w:kern w:val="0"/>
          <w:sz w:val="32"/>
          <w:szCs w:val="32"/>
        </w:rPr>
        <w:t>项以上的中医适宜技术，其他医疗卫生机构结合实际开展中医体质辨识、常见病多发病诊疗等安全有效、易操作的中医药服务。养老机构结合实际应用中医适宜技术，为入住老年人提供中医药养生保健等服务。</w:t>
      </w:r>
    </w:p>
    <w:p w14:paraId="70385CC5"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（十二）普及心理健康知识。</w:t>
      </w:r>
      <w:r w:rsidRPr="00BD71FC">
        <w:rPr>
          <w:rFonts w:ascii="仿宋" w:eastAsia="仿宋" w:hAnsi="仿宋" w:cs="宋体" w:hint="eastAsia"/>
          <w:noProof w:val="0"/>
          <w:color w:val="484848"/>
          <w:kern w:val="0"/>
          <w:sz w:val="32"/>
          <w:szCs w:val="32"/>
        </w:rPr>
        <w:t>组织开展老年心理关爱行动，将心理健康作为老年健康科普宣传的重要内容，增进社会对老年人心理健康的关注。医养结合机构每年至少开展2次心理健康知识讲座，支持配备心理辅导人员或专业社会工作者，提供心理辅导服务。支持医养结合机构开展老年人心理健康评估。</w:t>
      </w:r>
    </w:p>
    <w:p w14:paraId="3D4BF3CB"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（十三）加大医保支持力度。</w:t>
      </w:r>
      <w:r w:rsidRPr="00BD71FC">
        <w:rPr>
          <w:rFonts w:ascii="仿宋" w:eastAsia="仿宋" w:hAnsi="仿宋" w:cs="宋体" w:hint="eastAsia"/>
          <w:noProof w:val="0"/>
          <w:color w:val="484848"/>
          <w:kern w:val="0"/>
          <w:sz w:val="32"/>
          <w:szCs w:val="32"/>
        </w:rPr>
        <w:t>各地要积极将符合条件的医养结合机构中的医疗卫生机构（包括养老机构内设的医疗卫生机构）纳入医保定点机构范围，到2027年底，将自愿申请且符合条件的医养结合机构中的医疗卫生机构均纳入医保定点。完善</w:t>
      </w:r>
      <w:r w:rsidRPr="00BD71FC">
        <w:rPr>
          <w:rFonts w:ascii="仿宋" w:eastAsia="仿宋" w:hAnsi="仿宋" w:cs="Times New Roman" w:hint="eastAsia"/>
          <w:noProof w:val="0"/>
          <w:color w:val="484848"/>
          <w:kern w:val="0"/>
          <w:sz w:val="32"/>
          <w:szCs w:val="32"/>
        </w:rPr>
        <w:t>“</w:t>
      </w:r>
      <w:r w:rsidRPr="00BD71FC">
        <w:rPr>
          <w:rFonts w:ascii="仿宋" w:eastAsia="仿宋" w:hAnsi="仿宋" w:cs="宋体" w:hint="eastAsia"/>
          <w:noProof w:val="0"/>
          <w:color w:val="484848"/>
          <w:kern w:val="0"/>
          <w:sz w:val="32"/>
          <w:szCs w:val="32"/>
        </w:rPr>
        <w:t>互联网</w:t>
      </w:r>
      <w:r w:rsidRPr="00BD71FC">
        <w:rPr>
          <w:rFonts w:ascii="仿宋" w:eastAsia="仿宋" w:hAnsi="仿宋" w:cs="Times New Roman" w:hint="eastAsia"/>
          <w:noProof w:val="0"/>
          <w:color w:val="484848"/>
          <w:kern w:val="0"/>
          <w:sz w:val="32"/>
          <w:szCs w:val="32"/>
        </w:rPr>
        <w:t>+</w:t>
      </w:r>
      <w:r w:rsidRPr="00BD71FC">
        <w:rPr>
          <w:rFonts w:ascii="仿宋" w:eastAsia="仿宋" w:hAnsi="仿宋" w:cs="宋体" w:hint="eastAsia"/>
          <w:noProof w:val="0"/>
          <w:color w:val="484848"/>
          <w:kern w:val="0"/>
          <w:sz w:val="32"/>
          <w:szCs w:val="32"/>
        </w:rPr>
        <w:t>医疗服务</w:t>
      </w:r>
      <w:r w:rsidRPr="00BD71FC">
        <w:rPr>
          <w:rFonts w:ascii="仿宋" w:eastAsia="仿宋" w:hAnsi="仿宋" w:cs="Times New Roman" w:hint="eastAsia"/>
          <w:noProof w:val="0"/>
          <w:color w:val="484848"/>
          <w:kern w:val="0"/>
          <w:sz w:val="32"/>
          <w:szCs w:val="32"/>
        </w:rPr>
        <w:t>”</w:t>
      </w:r>
      <w:r w:rsidRPr="00BD71FC">
        <w:rPr>
          <w:rFonts w:ascii="仿宋" w:eastAsia="仿宋" w:hAnsi="仿宋" w:cs="宋体" w:hint="eastAsia"/>
          <w:noProof w:val="0"/>
          <w:color w:val="484848"/>
          <w:kern w:val="0"/>
          <w:sz w:val="32"/>
          <w:szCs w:val="32"/>
        </w:rPr>
        <w:t>、上门提供医疗服务等收费政策。</w:t>
      </w:r>
    </w:p>
    <w:p w14:paraId="25D480E6"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lastRenderedPageBreak/>
        <w:t>（十四）加强信息化支撑。</w:t>
      </w:r>
      <w:r w:rsidRPr="00BD71FC">
        <w:rPr>
          <w:rFonts w:ascii="仿宋" w:eastAsia="仿宋" w:hAnsi="仿宋" w:cs="宋体" w:hint="eastAsia"/>
          <w:noProof w:val="0"/>
          <w:color w:val="484848"/>
          <w:kern w:val="0"/>
          <w:sz w:val="32"/>
          <w:szCs w:val="32"/>
        </w:rPr>
        <w:t>各地要充分利用现有服务平台，推进医疗、养老服务信息互联互通和数据共享，医养结合机构实现院内老年人医疗与养老服务信息的共享共用。完善老年人电子健康档案，为老年人提供个性化健康管理服务。</w:t>
      </w:r>
    </w:p>
    <w:p w14:paraId="6461BC56"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黑体" w:eastAsia="黑体" w:hAnsi="黑体" w:cs="宋体" w:hint="eastAsia"/>
          <w:noProof w:val="0"/>
          <w:color w:val="484848"/>
          <w:kern w:val="0"/>
          <w:sz w:val="32"/>
          <w:szCs w:val="32"/>
        </w:rPr>
        <w:t>五、强化失能失智老年人服务保障</w:t>
      </w:r>
    </w:p>
    <w:p w14:paraId="148325B5"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（十五）开展失能老年人健康服务行动。</w:t>
      </w:r>
      <w:r w:rsidRPr="00BD71FC">
        <w:rPr>
          <w:rFonts w:ascii="仿宋" w:eastAsia="仿宋" w:hAnsi="仿宋" w:cs="宋体" w:hint="eastAsia"/>
          <w:noProof w:val="0"/>
          <w:color w:val="484848"/>
          <w:kern w:val="0"/>
          <w:sz w:val="32"/>
          <w:szCs w:val="32"/>
        </w:rPr>
        <w:t>各地要结合实际开展失能老年人健康服务行动，每年为提出申请的失能老年人开展至少1次健康评估、体格检查、康复护理技能和膳食营养改善指导等服务，根据需要提供健康咨询、转诊转介建议。加强失能高危人群早期识别和失能预防，开展健康教育和综合干预。</w:t>
      </w:r>
    </w:p>
    <w:p w14:paraId="064A4AE7"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（十六）保障经济困难失能老年人照护需求。</w:t>
      </w:r>
      <w:r w:rsidRPr="00BD71FC">
        <w:rPr>
          <w:rFonts w:ascii="仿宋" w:eastAsia="仿宋" w:hAnsi="仿宋" w:cs="宋体" w:hint="eastAsia"/>
          <w:noProof w:val="0"/>
          <w:color w:val="484848"/>
          <w:kern w:val="0"/>
          <w:sz w:val="32"/>
          <w:szCs w:val="32"/>
        </w:rPr>
        <w:t>各地要将经济困难失能老年人等群体集中照护服务纳入服务类社会救助清单，协助有意愿的经济困难失能老年人选择合适的养老机构并给予补助，对收住经济困难失能老年人等群体的养老机构结合绩效考核结果予以适当补贴。</w:t>
      </w:r>
    </w:p>
    <w:p w14:paraId="6B283198"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（十七）鼓励开展失智老年人特色服务。</w:t>
      </w:r>
      <w:r w:rsidRPr="00BD71FC">
        <w:rPr>
          <w:rFonts w:ascii="仿宋" w:eastAsia="仿宋" w:hAnsi="仿宋" w:cs="宋体" w:hint="eastAsia"/>
          <w:noProof w:val="0"/>
          <w:color w:val="484848"/>
          <w:kern w:val="0"/>
          <w:sz w:val="32"/>
          <w:szCs w:val="32"/>
        </w:rPr>
        <w:t>落实《应对老年期痴呆国家行动计划（2024—2030年）》，鼓励医养结合机构设立失智老年人照护专区（单元），探索发展家庭养老床位，为失智老年人提供专业、规范的居家照护服务。支持有条件的医养结合机构设立记忆门诊，开展认知功能筛查和干预。</w:t>
      </w:r>
    </w:p>
    <w:p w14:paraId="00037E79"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lastRenderedPageBreak/>
        <w:t>（十八）推动实施长期护理保险制度。</w:t>
      </w:r>
      <w:r w:rsidRPr="00BD71FC">
        <w:rPr>
          <w:rFonts w:ascii="仿宋" w:eastAsia="仿宋" w:hAnsi="仿宋" w:cs="宋体" w:hint="eastAsia"/>
          <w:noProof w:val="0"/>
          <w:color w:val="484848"/>
          <w:kern w:val="0"/>
          <w:sz w:val="32"/>
          <w:szCs w:val="32"/>
        </w:rPr>
        <w:t>各地要支持将符合条件的医养结合机构纳入长期护理保险定点服务机构范围。养老机构要通过多种方式增加护理型养老床位，推动提升失能照护水平。做好经济困难的高龄、失能老年人补贴等政策与长期护理保险的衔接，推动老年人相关评估标准衔接。</w:t>
      </w:r>
    </w:p>
    <w:p w14:paraId="21178AF3"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黑体" w:eastAsia="黑体" w:hAnsi="黑体" w:cs="宋体" w:hint="eastAsia"/>
          <w:noProof w:val="0"/>
          <w:color w:val="484848"/>
          <w:kern w:val="0"/>
          <w:sz w:val="32"/>
          <w:szCs w:val="32"/>
        </w:rPr>
        <w:t>六、加强质量管理</w:t>
      </w:r>
    </w:p>
    <w:p w14:paraId="1F3A5F74"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（十九）落实老年人入住评估制度。</w:t>
      </w:r>
      <w:r w:rsidRPr="00BD71FC">
        <w:rPr>
          <w:rFonts w:ascii="仿宋" w:eastAsia="仿宋" w:hAnsi="仿宋" w:cs="宋体" w:hint="eastAsia"/>
          <w:noProof w:val="0"/>
          <w:color w:val="484848"/>
          <w:kern w:val="0"/>
          <w:sz w:val="32"/>
          <w:szCs w:val="32"/>
        </w:rPr>
        <w:t>医养结合机构在老年人入住时，根据实际需要对其进行健康状况、服务需求、风险等级和能力综合评估，制定针对性服务方案。老年人入住后，密切监测其健康状况，及时开展动态评估，根据评估结果科学调整服务方案。</w:t>
      </w:r>
    </w:p>
    <w:p w14:paraId="1D6C97E8"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（二十）加强质量控制。</w:t>
      </w:r>
      <w:r w:rsidRPr="00BD71FC">
        <w:rPr>
          <w:rFonts w:ascii="仿宋" w:eastAsia="仿宋" w:hAnsi="仿宋" w:cs="宋体" w:hint="eastAsia"/>
          <w:noProof w:val="0"/>
          <w:color w:val="484848"/>
          <w:kern w:val="0"/>
          <w:sz w:val="32"/>
          <w:szCs w:val="32"/>
        </w:rPr>
        <w:t>支持地方依托省级质量控制中心或医疗卫生机构、省级养老服务中心或养老机构，开展医养结合服务技术指导、质量控制。医养结合机构要不断健全质量安全管理制度，强化重点环节管控，将服务质量管理作为内部业务考核评价的重要依据，推动提升服务水平。</w:t>
      </w:r>
    </w:p>
    <w:p w14:paraId="6A0C684C"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（二十一）推广多学科连续服务。</w:t>
      </w:r>
      <w:r w:rsidRPr="00BD71FC">
        <w:rPr>
          <w:rFonts w:ascii="仿宋" w:eastAsia="仿宋" w:hAnsi="仿宋" w:cs="宋体" w:hint="eastAsia"/>
          <w:noProof w:val="0"/>
          <w:color w:val="484848"/>
          <w:kern w:val="0"/>
          <w:sz w:val="32"/>
          <w:szCs w:val="32"/>
        </w:rPr>
        <w:t>医养结合机构根据老年人需求，整合医疗、护理、康复、安宁疗护、药学等资源，组建多学科服务团队，为老年人提供预防、治疗、康复、护理、安宁疗护、药学等整合型一站式服务。严格落实医疗护理质量核心制度，确保老年人Ⅱ度及以上压疮新发生率控制在5%以内。</w:t>
      </w:r>
    </w:p>
    <w:p w14:paraId="790A18F7"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lastRenderedPageBreak/>
        <w:t>（二十二）规范自带药品管理。</w:t>
      </w:r>
      <w:r w:rsidRPr="00BD71FC">
        <w:rPr>
          <w:rFonts w:ascii="仿宋" w:eastAsia="仿宋" w:hAnsi="仿宋" w:cs="宋体" w:hint="eastAsia"/>
          <w:noProof w:val="0"/>
          <w:color w:val="484848"/>
          <w:kern w:val="0"/>
          <w:sz w:val="32"/>
          <w:szCs w:val="32"/>
        </w:rPr>
        <w:t>医养结合机构建立老年人自带药品管理制度，加强本机构开具药品与老年人自带药品的用药衔接。老年人需用自带药品时，工作人员应根据医嘱或处方规范药品收取、预备、派发和分类管理，强化用药指导，结合服药记录进行用药监测，及时处置发生误服和不良反应等突发事件。</w:t>
      </w:r>
    </w:p>
    <w:p w14:paraId="136CACBA"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黑体" w:eastAsia="黑体" w:hAnsi="黑体" w:cs="宋体" w:hint="eastAsia"/>
          <w:noProof w:val="0"/>
          <w:color w:val="484848"/>
          <w:kern w:val="0"/>
          <w:sz w:val="32"/>
          <w:szCs w:val="32"/>
        </w:rPr>
        <w:t>七、筑牢安全生产防线</w:t>
      </w:r>
    </w:p>
    <w:p w14:paraId="4B2B0BC0"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（二十三）加强行业监管。</w:t>
      </w:r>
      <w:r w:rsidRPr="00BD71FC">
        <w:rPr>
          <w:rFonts w:ascii="仿宋" w:eastAsia="仿宋" w:hAnsi="仿宋" w:cs="宋体" w:hint="eastAsia"/>
          <w:noProof w:val="0"/>
          <w:color w:val="484848"/>
          <w:kern w:val="0"/>
          <w:sz w:val="32"/>
          <w:szCs w:val="32"/>
        </w:rPr>
        <w:t>各地卫生健康、民政部门要分别对提供医养结合服务的医疗卫生机构、养老机构进行行业监管，每年在</w:t>
      </w:r>
      <w:r w:rsidRPr="00BD71FC">
        <w:rPr>
          <w:rFonts w:ascii="仿宋" w:eastAsia="仿宋" w:hAnsi="仿宋" w:cs="Times New Roman" w:hint="eastAsia"/>
          <w:noProof w:val="0"/>
          <w:color w:val="484848"/>
          <w:kern w:val="0"/>
          <w:sz w:val="32"/>
          <w:szCs w:val="32"/>
        </w:rPr>
        <w:t>“</w:t>
      </w:r>
      <w:r w:rsidRPr="00BD71FC">
        <w:rPr>
          <w:rFonts w:ascii="仿宋" w:eastAsia="仿宋" w:hAnsi="仿宋" w:cs="宋体" w:hint="eastAsia"/>
          <w:noProof w:val="0"/>
          <w:color w:val="484848"/>
          <w:kern w:val="0"/>
          <w:sz w:val="32"/>
          <w:szCs w:val="32"/>
        </w:rPr>
        <w:t>双随机、一公开</w:t>
      </w:r>
      <w:r w:rsidRPr="00BD71FC">
        <w:rPr>
          <w:rFonts w:ascii="仿宋" w:eastAsia="仿宋" w:hAnsi="仿宋" w:cs="Times New Roman" w:hint="eastAsia"/>
          <w:noProof w:val="0"/>
          <w:color w:val="484848"/>
          <w:kern w:val="0"/>
          <w:sz w:val="32"/>
          <w:szCs w:val="32"/>
        </w:rPr>
        <w:t>”</w:t>
      </w:r>
      <w:r w:rsidRPr="00BD71FC">
        <w:rPr>
          <w:rFonts w:ascii="仿宋" w:eastAsia="仿宋" w:hAnsi="仿宋" w:cs="宋体" w:hint="eastAsia"/>
          <w:noProof w:val="0"/>
          <w:color w:val="484848"/>
          <w:kern w:val="0"/>
          <w:sz w:val="32"/>
          <w:szCs w:val="32"/>
        </w:rPr>
        <w:t>检查中，依据职责抽查一定数量的相应机构。强化安全生产管理，规范涉企行政检查要求，联合相关安全生产监管部门，依法加强日常督促和指导。</w:t>
      </w:r>
    </w:p>
    <w:p w14:paraId="4D6E96B9"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（二十四）落实机构主体责任。</w:t>
      </w:r>
      <w:r w:rsidRPr="00BD71FC">
        <w:rPr>
          <w:rFonts w:ascii="仿宋" w:eastAsia="仿宋" w:hAnsi="仿宋" w:cs="宋体" w:hint="eastAsia"/>
          <w:noProof w:val="0"/>
          <w:color w:val="484848"/>
          <w:kern w:val="0"/>
          <w:sz w:val="32"/>
          <w:szCs w:val="32"/>
        </w:rPr>
        <w:t>医养结合机构要严格执行消防、安全有关法律法规，常态化开展风险隐患自查自纠，建立隐患台账并及时整改。完善风险防范措施，强化日常巡查、值班值守和培训演练，每月至少组织1次防火检查，每半年至少开展</w:t>
      </w:r>
      <w:r w:rsidRPr="00BD71FC">
        <w:rPr>
          <w:rFonts w:ascii="仿宋" w:eastAsia="仿宋" w:hAnsi="仿宋" w:cs="Times New Roman" w:hint="eastAsia"/>
          <w:noProof w:val="0"/>
          <w:color w:val="484848"/>
          <w:kern w:val="0"/>
          <w:sz w:val="32"/>
          <w:szCs w:val="32"/>
        </w:rPr>
        <w:t>1</w:t>
      </w:r>
      <w:r w:rsidRPr="00BD71FC">
        <w:rPr>
          <w:rFonts w:ascii="仿宋" w:eastAsia="仿宋" w:hAnsi="仿宋" w:cs="宋体" w:hint="eastAsia"/>
          <w:noProof w:val="0"/>
          <w:color w:val="484848"/>
          <w:kern w:val="0"/>
          <w:sz w:val="32"/>
          <w:szCs w:val="32"/>
        </w:rPr>
        <w:t>次消防演练。</w:t>
      </w:r>
    </w:p>
    <w:p w14:paraId="2699061C" w14:textId="77777777" w:rsidR="00BD71FC" w:rsidRPr="00BD71FC" w:rsidRDefault="00BD71FC" w:rsidP="00BD71FC">
      <w:pPr>
        <w:widowControl/>
        <w:ind w:firstLine="480"/>
        <w:rPr>
          <w:rFonts w:ascii="微软雅黑" w:eastAsia="微软雅黑" w:hAnsi="微软雅黑" w:cs="宋体" w:hint="eastAsia"/>
          <w:noProof w:val="0"/>
          <w:color w:val="484848"/>
          <w:kern w:val="0"/>
          <w:sz w:val="32"/>
          <w:szCs w:val="32"/>
        </w:rPr>
      </w:pPr>
      <w:r w:rsidRPr="00BD71FC">
        <w:rPr>
          <w:rFonts w:ascii="楷体" w:eastAsia="楷体" w:hAnsi="楷体" w:cs="宋体" w:hint="eastAsia"/>
          <w:noProof w:val="0"/>
          <w:color w:val="484848"/>
          <w:kern w:val="0"/>
          <w:sz w:val="32"/>
          <w:szCs w:val="32"/>
        </w:rPr>
        <w:t>（二十五）开展传染病防控应急演练。</w:t>
      </w:r>
      <w:r w:rsidRPr="00BD71FC">
        <w:rPr>
          <w:rFonts w:ascii="仿宋" w:eastAsia="仿宋" w:hAnsi="仿宋" w:cs="宋体" w:hint="eastAsia"/>
          <w:noProof w:val="0"/>
          <w:color w:val="484848"/>
          <w:kern w:val="0"/>
          <w:sz w:val="32"/>
          <w:szCs w:val="32"/>
        </w:rPr>
        <w:t>医养结合机构要制定突发事件应急处置预案，健全传染病防控和院感管理机制，每年至少开展1次传染病防控应急演练。发现突发公共卫生</w:t>
      </w:r>
      <w:r w:rsidRPr="00BD71FC">
        <w:rPr>
          <w:rFonts w:ascii="仿宋" w:eastAsia="仿宋" w:hAnsi="仿宋" w:cs="宋体" w:hint="eastAsia"/>
          <w:noProof w:val="0"/>
          <w:color w:val="484848"/>
          <w:kern w:val="0"/>
          <w:sz w:val="32"/>
          <w:szCs w:val="32"/>
        </w:rPr>
        <w:lastRenderedPageBreak/>
        <w:t>事件和疑似传染病疫情，及时报告辖区疾病预防控制机构和上级主管部门，并积极采取应急措施。</w:t>
      </w:r>
    </w:p>
    <w:p w14:paraId="578C1DE9" w14:textId="77777777" w:rsidR="00BD71FC" w:rsidRPr="00BD71FC" w:rsidRDefault="00BD71FC" w:rsidP="00BD71FC">
      <w:pPr>
        <w:widowControl/>
        <w:ind w:firstLine="480"/>
        <w:rPr>
          <w:rFonts w:ascii="仿宋" w:eastAsia="仿宋" w:hAnsi="仿宋" w:cs="宋体" w:hint="eastAsia"/>
          <w:noProof w:val="0"/>
          <w:color w:val="484848"/>
          <w:kern w:val="0"/>
          <w:sz w:val="32"/>
          <w:szCs w:val="32"/>
        </w:rPr>
      </w:pPr>
      <w:r w:rsidRPr="00BD71FC">
        <w:rPr>
          <w:rFonts w:ascii="仿宋" w:eastAsia="仿宋" w:hAnsi="仿宋" w:cs="宋体" w:hint="eastAsia"/>
          <w:noProof w:val="0"/>
          <w:color w:val="484848"/>
          <w:kern w:val="0"/>
          <w:sz w:val="32"/>
          <w:szCs w:val="32"/>
        </w:rPr>
        <w:t>各地各有关部门要加强组织领导，强化政策协同，统筹各方资源，加大支持力度，有效扩大供给，提升服务能力。要因地制宜，结合医养结合示范创建、公立医院高质量发展、紧密型医联体建设等，加强工作指导和效果评估，确保行动取得实效。注重总结推广行动中发现的典型经验，加大宣传力度，营造良好的社会氛围。有关情况和典型案例请及时报国家卫生健康委。</w:t>
      </w:r>
    </w:p>
    <w:p w14:paraId="35646743" w14:textId="77777777" w:rsidR="00BD71FC" w:rsidRPr="00BD71FC" w:rsidRDefault="00BD71FC" w:rsidP="00BD71FC">
      <w:pPr>
        <w:widowControl/>
        <w:ind w:firstLine="480"/>
        <w:rPr>
          <w:rFonts w:ascii="仿宋" w:eastAsia="仿宋" w:hAnsi="仿宋" w:cs="宋体" w:hint="eastAsia"/>
          <w:noProof w:val="0"/>
          <w:color w:val="484848"/>
          <w:kern w:val="0"/>
          <w:sz w:val="32"/>
          <w:szCs w:val="32"/>
        </w:rPr>
      </w:pPr>
      <w:r w:rsidRPr="00BD71FC">
        <w:rPr>
          <w:rFonts w:ascii="仿宋" w:eastAsia="仿宋" w:hAnsi="仿宋" w:cs="宋体" w:hint="eastAsia"/>
          <w:noProof w:val="0"/>
          <w:color w:val="484848"/>
          <w:kern w:val="0"/>
          <w:sz w:val="32"/>
          <w:szCs w:val="32"/>
        </w:rPr>
        <w:br/>
      </w:r>
    </w:p>
    <w:p w14:paraId="67DA333A" w14:textId="77777777" w:rsidR="00BD71FC" w:rsidRPr="00BD71FC" w:rsidRDefault="00BD71FC" w:rsidP="00BD71FC">
      <w:pPr>
        <w:widowControl/>
        <w:ind w:firstLine="480"/>
        <w:jc w:val="right"/>
        <w:rPr>
          <w:rFonts w:ascii="仿宋" w:eastAsia="仿宋" w:hAnsi="仿宋" w:cs="宋体" w:hint="eastAsia"/>
          <w:noProof w:val="0"/>
          <w:color w:val="484848"/>
          <w:kern w:val="0"/>
          <w:sz w:val="32"/>
          <w:szCs w:val="32"/>
        </w:rPr>
      </w:pPr>
      <w:r w:rsidRPr="00BD71FC">
        <w:rPr>
          <w:rFonts w:ascii="仿宋" w:eastAsia="仿宋" w:hAnsi="仿宋" w:cs="宋体" w:hint="eastAsia"/>
          <w:noProof w:val="0"/>
          <w:color w:val="484848"/>
          <w:kern w:val="0"/>
          <w:sz w:val="32"/>
          <w:szCs w:val="32"/>
        </w:rPr>
        <w:t>国家卫生健康委办公厅</w:t>
      </w:r>
      <w:r w:rsidRPr="00BD71FC">
        <w:rPr>
          <w:rFonts w:ascii="Calibri" w:eastAsia="仿宋" w:hAnsi="Calibri" w:cs="Calibri"/>
          <w:noProof w:val="0"/>
          <w:color w:val="484848"/>
          <w:kern w:val="0"/>
          <w:sz w:val="32"/>
          <w:szCs w:val="32"/>
        </w:rPr>
        <w:t> </w:t>
      </w:r>
      <w:r w:rsidRPr="00BD71FC">
        <w:rPr>
          <w:rFonts w:ascii="仿宋" w:eastAsia="仿宋" w:hAnsi="仿宋" w:cs="宋体" w:hint="eastAsia"/>
          <w:noProof w:val="0"/>
          <w:color w:val="484848"/>
          <w:kern w:val="0"/>
          <w:sz w:val="32"/>
          <w:szCs w:val="32"/>
        </w:rPr>
        <w:t> </w:t>
      </w:r>
      <w:r w:rsidRPr="00BD71FC">
        <w:rPr>
          <w:rFonts w:ascii="仿宋" w:eastAsia="仿宋" w:hAnsi="仿宋" w:cs="宋体" w:hint="eastAsia"/>
          <w:noProof w:val="0"/>
          <w:color w:val="484848"/>
          <w:kern w:val="0"/>
          <w:sz w:val="32"/>
          <w:szCs w:val="32"/>
        </w:rPr>
        <w:t> </w:t>
      </w:r>
      <w:r w:rsidRPr="00BD71FC">
        <w:rPr>
          <w:rFonts w:ascii="仿宋" w:eastAsia="仿宋" w:hAnsi="仿宋" w:cs="宋体" w:hint="eastAsia"/>
          <w:noProof w:val="0"/>
          <w:color w:val="484848"/>
          <w:kern w:val="0"/>
          <w:sz w:val="32"/>
          <w:szCs w:val="32"/>
        </w:rPr>
        <w:t> </w:t>
      </w:r>
      <w:r w:rsidRPr="00BD71FC">
        <w:rPr>
          <w:rFonts w:ascii="仿宋" w:eastAsia="仿宋" w:hAnsi="仿宋" w:cs="宋体" w:hint="eastAsia"/>
          <w:noProof w:val="0"/>
          <w:color w:val="484848"/>
          <w:kern w:val="0"/>
          <w:sz w:val="32"/>
          <w:szCs w:val="32"/>
        </w:rPr>
        <w:t> </w:t>
      </w:r>
      <w:r w:rsidRPr="00BD71FC">
        <w:rPr>
          <w:rFonts w:ascii="仿宋" w:eastAsia="仿宋" w:hAnsi="仿宋" w:cs="宋体" w:hint="eastAsia"/>
          <w:noProof w:val="0"/>
          <w:color w:val="484848"/>
          <w:kern w:val="0"/>
          <w:sz w:val="32"/>
          <w:szCs w:val="32"/>
        </w:rPr>
        <w:t> </w:t>
      </w:r>
      <w:r w:rsidRPr="00BD71FC">
        <w:rPr>
          <w:rFonts w:ascii="仿宋" w:eastAsia="仿宋" w:hAnsi="仿宋" w:cs="宋体" w:hint="eastAsia"/>
          <w:noProof w:val="0"/>
          <w:color w:val="484848"/>
          <w:kern w:val="0"/>
          <w:sz w:val="32"/>
          <w:szCs w:val="32"/>
        </w:rPr>
        <w:t> </w:t>
      </w:r>
      <w:r w:rsidRPr="00BD71FC">
        <w:rPr>
          <w:rFonts w:ascii="仿宋" w:eastAsia="仿宋" w:hAnsi="仿宋" w:cs="宋体" w:hint="eastAsia"/>
          <w:noProof w:val="0"/>
          <w:color w:val="484848"/>
          <w:kern w:val="0"/>
          <w:sz w:val="32"/>
          <w:szCs w:val="32"/>
        </w:rPr>
        <w:t> </w:t>
      </w:r>
      <w:r w:rsidRPr="00BD71FC">
        <w:rPr>
          <w:rFonts w:ascii="仿宋" w:eastAsia="仿宋" w:hAnsi="仿宋" w:cs="宋体" w:hint="eastAsia"/>
          <w:noProof w:val="0"/>
          <w:color w:val="484848"/>
          <w:kern w:val="0"/>
          <w:sz w:val="32"/>
          <w:szCs w:val="32"/>
        </w:rPr>
        <w:t>民政部办公厅</w:t>
      </w:r>
      <w:r w:rsidRPr="00BD71FC">
        <w:rPr>
          <w:rFonts w:ascii="仿宋" w:eastAsia="仿宋" w:hAnsi="仿宋" w:cs="宋体" w:hint="eastAsia"/>
          <w:noProof w:val="0"/>
          <w:color w:val="484848"/>
          <w:kern w:val="0"/>
          <w:sz w:val="32"/>
          <w:szCs w:val="32"/>
        </w:rPr>
        <w:t> </w:t>
      </w:r>
    </w:p>
    <w:p w14:paraId="38EC399F" w14:textId="77777777" w:rsidR="00BD71FC" w:rsidRPr="00BD71FC" w:rsidRDefault="00BD71FC" w:rsidP="00BD71FC">
      <w:pPr>
        <w:widowControl/>
        <w:ind w:firstLine="480"/>
        <w:jc w:val="right"/>
        <w:rPr>
          <w:rFonts w:ascii="仿宋" w:eastAsia="仿宋" w:hAnsi="仿宋" w:cs="宋体" w:hint="eastAsia"/>
          <w:noProof w:val="0"/>
          <w:color w:val="484848"/>
          <w:kern w:val="0"/>
          <w:sz w:val="32"/>
          <w:szCs w:val="32"/>
        </w:rPr>
      </w:pPr>
      <w:r w:rsidRPr="00BD71FC">
        <w:rPr>
          <w:rFonts w:ascii="仿宋" w:eastAsia="仿宋" w:hAnsi="仿宋" w:cs="宋体" w:hint="eastAsia"/>
          <w:noProof w:val="0"/>
          <w:color w:val="484848"/>
          <w:kern w:val="0"/>
          <w:sz w:val="32"/>
          <w:szCs w:val="32"/>
        </w:rPr>
        <w:t>国家医保局办公室</w:t>
      </w:r>
      <w:r w:rsidRPr="00BD71FC">
        <w:rPr>
          <w:rFonts w:ascii="Calibri" w:eastAsia="仿宋" w:hAnsi="Calibri" w:cs="Calibri"/>
          <w:noProof w:val="0"/>
          <w:color w:val="484848"/>
          <w:kern w:val="0"/>
          <w:sz w:val="32"/>
          <w:szCs w:val="32"/>
        </w:rPr>
        <w:t> </w:t>
      </w:r>
      <w:r w:rsidRPr="00BD71FC">
        <w:rPr>
          <w:rFonts w:ascii="仿宋" w:eastAsia="仿宋" w:hAnsi="仿宋" w:cs="宋体" w:hint="eastAsia"/>
          <w:noProof w:val="0"/>
          <w:color w:val="484848"/>
          <w:kern w:val="0"/>
          <w:sz w:val="32"/>
          <w:szCs w:val="32"/>
        </w:rPr>
        <w:t> </w:t>
      </w:r>
      <w:r w:rsidRPr="00BD71FC">
        <w:rPr>
          <w:rFonts w:ascii="仿宋" w:eastAsia="仿宋" w:hAnsi="仿宋" w:cs="宋体" w:hint="eastAsia"/>
          <w:noProof w:val="0"/>
          <w:color w:val="484848"/>
          <w:kern w:val="0"/>
          <w:sz w:val="32"/>
          <w:szCs w:val="32"/>
        </w:rPr>
        <w:t> </w:t>
      </w:r>
      <w:r w:rsidRPr="00BD71FC">
        <w:rPr>
          <w:rFonts w:ascii="仿宋" w:eastAsia="仿宋" w:hAnsi="仿宋" w:cs="宋体" w:hint="eastAsia"/>
          <w:noProof w:val="0"/>
          <w:color w:val="484848"/>
          <w:kern w:val="0"/>
          <w:sz w:val="32"/>
          <w:szCs w:val="32"/>
        </w:rPr>
        <w:t> </w:t>
      </w:r>
      <w:r w:rsidRPr="00BD71FC">
        <w:rPr>
          <w:rFonts w:ascii="仿宋" w:eastAsia="仿宋" w:hAnsi="仿宋" w:cs="宋体" w:hint="eastAsia"/>
          <w:noProof w:val="0"/>
          <w:color w:val="484848"/>
          <w:kern w:val="0"/>
          <w:sz w:val="32"/>
          <w:szCs w:val="32"/>
        </w:rPr>
        <w:t> </w:t>
      </w:r>
      <w:r w:rsidRPr="00BD71FC">
        <w:rPr>
          <w:rFonts w:ascii="仿宋" w:eastAsia="仿宋" w:hAnsi="仿宋" w:cs="宋体" w:hint="eastAsia"/>
          <w:noProof w:val="0"/>
          <w:color w:val="484848"/>
          <w:kern w:val="0"/>
          <w:sz w:val="32"/>
          <w:szCs w:val="32"/>
        </w:rPr>
        <w:t> </w:t>
      </w:r>
      <w:r w:rsidRPr="00BD71FC">
        <w:rPr>
          <w:rFonts w:ascii="仿宋" w:eastAsia="仿宋" w:hAnsi="仿宋" w:cs="宋体" w:hint="eastAsia"/>
          <w:noProof w:val="0"/>
          <w:color w:val="484848"/>
          <w:kern w:val="0"/>
          <w:sz w:val="32"/>
          <w:szCs w:val="32"/>
        </w:rPr>
        <w:t> </w:t>
      </w:r>
      <w:r w:rsidRPr="00BD71FC">
        <w:rPr>
          <w:rFonts w:ascii="仿宋" w:eastAsia="仿宋" w:hAnsi="仿宋" w:cs="宋体" w:hint="eastAsia"/>
          <w:noProof w:val="0"/>
          <w:color w:val="484848"/>
          <w:kern w:val="0"/>
          <w:sz w:val="32"/>
          <w:szCs w:val="32"/>
        </w:rPr>
        <w:t>国家中医药局综合司</w:t>
      </w:r>
    </w:p>
    <w:p w14:paraId="596B64C6" w14:textId="77777777" w:rsidR="00BD71FC" w:rsidRPr="00BD71FC" w:rsidRDefault="00BD71FC" w:rsidP="00BD71FC">
      <w:pPr>
        <w:widowControl/>
        <w:ind w:firstLine="480"/>
        <w:jc w:val="right"/>
        <w:rPr>
          <w:rFonts w:ascii="仿宋" w:eastAsia="仿宋" w:hAnsi="仿宋" w:cs="宋体" w:hint="eastAsia"/>
          <w:noProof w:val="0"/>
          <w:color w:val="484848"/>
          <w:kern w:val="0"/>
          <w:sz w:val="32"/>
          <w:szCs w:val="32"/>
        </w:rPr>
      </w:pPr>
      <w:r w:rsidRPr="00BD71FC">
        <w:rPr>
          <w:rFonts w:ascii="仿宋" w:eastAsia="仿宋" w:hAnsi="仿宋" w:cs="宋体" w:hint="eastAsia"/>
          <w:noProof w:val="0"/>
          <w:color w:val="484848"/>
          <w:kern w:val="0"/>
          <w:sz w:val="32"/>
          <w:szCs w:val="32"/>
        </w:rPr>
        <w:t>国家疾控局综合司</w:t>
      </w:r>
    </w:p>
    <w:p w14:paraId="0805DBDF" w14:textId="77777777" w:rsidR="00BD71FC" w:rsidRPr="00BD71FC" w:rsidRDefault="00BD71FC" w:rsidP="00BD71FC">
      <w:pPr>
        <w:widowControl/>
        <w:ind w:firstLine="480"/>
        <w:jc w:val="right"/>
        <w:rPr>
          <w:rFonts w:ascii="仿宋" w:eastAsia="仿宋" w:hAnsi="仿宋" w:cs="宋体" w:hint="eastAsia"/>
          <w:noProof w:val="0"/>
          <w:color w:val="484848"/>
          <w:kern w:val="0"/>
          <w:sz w:val="32"/>
          <w:szCs w:val="32"/>
        </w:rPr>
      </w:pPr>
      <w:r w:rsidRPr="00BD71FC">
        <w:rPr>
          <w:rFonts w:ascii="仿宋" w:eastAsia="仿宋" w:hAnsi="仿宋" w:cs="宋体" w:hint="eastAsia"/>
          <w:noProof w:val="0"/>
          <w:color w:val="484848"/>
          <w:kern w:val="0"/>
          <w:sz w:val="32"/>
          <w:szCs w:val="32"/>
        </w:rPr>
        <w:t>2025年10月11日</w:t>
      </w:r>
    </w:p>
    <w:p w14:paraId="63D0A89E" w14:textId="77777777" w:rsidR="00BD71FC" w:rsidRPr="00BD71FC" w:rsidRDefault="00BD71FC" w:rsidP="00BD71FC">
      <w:pPr>
        <w:widowControl/>
        <w:ind w:firstLine="480"/>
        <w:rPr>
          <w:rFonts w:ascii="仿宋" w:eastAsia="仿宋" w:hAnsi="仿宋" w:cs="宋体" w:hint="eastAsia"/>
          <w:noProof w:val="0"/>
          <w:color w:val="484848"/>
          <w:kern w:val="0"/>
          <w:sz w:val="32"/>
          <w:szCs w:val="32"/>
        </w:rPr>
      </w:pPr>
      <w:r w:rsidRPr="00BD71FC">
        <w:rPr>
          <w:rFonts w:ascii="仿宋" w:eastAsia="仿宋" w:hAnsi="仿宋" w:cs="宋体" w:hint="eastAsia"/>
          <w:noProof w:val="0"/>
          <w:color w:val="484848"/>
          <w:kern w:val="0"/>
          <w:sz w:val="32"/>
          <w:szCs w:val="32"/>
        </w:rPr>
        <w:t>（信息公开形式：主动公开）</w:t>
      </w:r>
    </w:p>
    <w:p w14:paraId="1BA73786" w14:textId="77777777" w:rsidR="00650F85" w:rsidRPr="00BD71FC" w:rsidRDefault="00650F85">
      <w:pPr>
        <w:rPr>
          <w:rFonts w:hint="eastAsia"/>
        </w:rPr>
      </w:pPr>
    </w:p>
    <w:sectPr w:rsidR="00650F85" w:rsidRPr="00BD7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C"/>
    <w:rsid w:val="00100923"/>
    <w:rsid w:val="00650F85"/>
    <w:rsid w:val="00BD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8881"/>
  <w15:chartTrackingRefBased/>
  <w15:docId w15:val="{9CB78EFD-6E27-4886-A6F6-D9705D47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paragraph" w:styleId="1">
    <w:name w:val="heading 1"/>
    <w:basedOn w:val="a"/>
    <w:next w:val="a"/>
    <w:link w:val="10"/>
    <w:uiPriority w:val="9"/>
    <w:qFormat/>
    <w:rsid w:val="00BD71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1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1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1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1F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BD71F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1F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1F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D71F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1FC"/>
    <w:rPr>
      <w:rFonts w:asciiTheme="majorHAnsi" w:eastAsiaTheme="majorEastAsia" w:hAnsiTheme="majorHAnsi" w:cstheme="majorBidi"/>
      <w:noProof/>
      <w:color w:val="2F5496" w:themeColor="accent1" w:themeShade="BF"/>
      <w:sz w:val="48"/>
      <w:szCs w:val="48"/>
    </w:rPr>
  </w:style>
  <w:style w:type="character" w:customStyle="1" w:styleId="20">
    <w:name w:val="标题 2 字符"/>
    <w:basedOn w:val="a0"/>
    <w:link w:val="2"/>
    <w:uiPriority w:val="9"/>
    <w:semiHidden/>
    <w:rsid w:val="00BD71FC"/>
    <w:rPr>
      <w:rFonts w:asciiTheme="majorHAnsi" w:eastAsiaTheme="majorEastAsia" w:hAnsiTheme="majorHAnsi" w:cstheme="majorBidi"/>
      <w:noProof/>
      <w:color w:val="2F5496" w:themeColor="accent1" w:themeShade="BF"/>
      <w:sz w:val="40"/>
      <w:szCs w:val="40"/>
    </w:rPr>
  </w:style>
  <w:style w:type="character" w:customStyle="1" w:styleId="30">
    <w:name w:val="标题 3 字符"/>
    <w:basedOn w:val="a0"/>
    <w:link w:val="3"/>
    <w:uiPriority w:val="9"/>
    <w:semiHidden/>
    <w:rsid w:val="00BD71FC"/>
    <w:rPr>
      <w:rFonts w:asciiTheme="majorHAnsi" w:eastAsiaTheme="majorEastAsia" w:hAnsiTheme="majorHAnsi" w:cstheme="majorBidi"/>
      <w:noProof/>
      <w:color w:val="2F5496" w:themeColor="accent1" w:themeShade="BF"/>
      <w:sz w:val="32"/>
      <w:szCs w:val="32"/>
    </w:rPr>
  </w:style>
  <w:style w:type="character" w:customStyle="1" w:styleId="40">
    <w:name w:val="标题 4 字符"/>
    <w:basedOn w:val="a0"/>
    <w:link w:val="4"/>
    <w:uiPriority w:val="9"/>
    <w:semiHidden/>
    <w:rsid w:val="00BD71FC"/>
    <w:rPr>
      <w:rFonts w:cstheme="majorBidi"/>
      <w:noProof/>
      <w:color w:val="2F5496" w:themeColor="accent1" w:themeShade="BF"/>
      <w:sz w:val="28"/>
      <w:szCs w:val="28"/>
    </w:rPr>
  </w:style>
  <w:style w:type="character" w:customStyle="1" w:styleId="50">
    <w:name w:val="标题 5 字符"/>
    <w:basedOn w:val="a0"/>
    <w:link w:val="5"/>
    <w:uiPriority w:val="9"/>
    <w:semiHidden/>
    <w:rsid w:val="00BD71FC"/>
    <w:rPr>
      <w:rFonts w:cstheme="majorBidi"/>
      <w:noProof/>
      <w:color w:val="2F5496" w:themeColor="accent1" w:themeShade="BF"/>
      <w:sz w:val="24"/>
      <w:szCs w:val="24"/>
    </w:rPr>
  </w:style>
  <w:style w:type="character" w:customStyle="1" w:styleId="60">
    <w:name w:val="标题 6 字符"/>
    <w:basedOn w:val="a0"/>
    <w:link w:val="6"/>
    <w:uiPriority w:val="9"/>
    <w:semiHidden/>
    <w:rsid w:val="00BD71FC"/>
    <w:rPr>
      <w:rFonts w:cstheme="majorBidi"/>
      <w:b/>
      <w:bCs/>
      <w:noProof/>
      <w:color w:val="2F5496" w:themeColor="accent1" w:themeShade="BF"/>
    </w:rPr>
  </w:style>
  <w:style w:type="character" w:customStyle="1" w:styleId="70">
    <w:name w:val="标题 7 字符"/>
    <w:basedOn w:val="a0"/>
    <w:link w:val="7"/>
    <w:uiPriority w:val="9"/>
    <w:semiHidden/>
    <w:rsid w:val="00BD71FC"/>
    <w:rPr>
      <w:rFonts w:cstheme="majorBidi"/>
      <w:b/>
      <w:bCs/>
      <w:noProof/>
      <w:color w:val="595959" w:themeColor="text1" w:themeTint="A6"/>
    </w:rPr>
  </w:style>
  <w:style w:type="character" w:customStyle="1" w:styleId="80">
    <w:name w:val="标题 8 字符"/>
    <w:basedOn w:val="a0"/>
    <w:link w:val="8"/>
    <w:uiPriority w:val="9"/>
    <w:semiHidden/>
    <w:rsid w:val="00BD71FC"/>
    <w:rPr>
      <w:rFonts w:cstheme="majorBidi"/>
      <w:noProof/>
      <w:color w:val="595959" w:themeColor="text1" w:themeTint="A6"/>
    </w:rPr>
  </w:style>
  <w:style w:type="character" w:customStyle="1" w:styleId="90">
    <w:name w:val="标题 9 字符"/>
    <w:basedOn w:val="a0"/>
    <w:link w:val="9"/>
    <w:uiPriority w:val="9"/>
    <w:semiHidden/>
    <w:rsid w:val="00BD71FC"/>
    <w:rPr>
      <w:rFonts w:eastAsiaTheme="majorEastAsia" w:cstheme="majorBidi"/>
      <w:noProof/>
      <w:color w:val="595959" w:themeColor="text1" w:themeTint="A6"/>
    </w:rPr>
  </w:style>
  <w:style w:type="paragraph" w:styleId="a3">
    <w:name w:val="Title"/>
    <w:basedOn w:val="a"/>
    <w:next w:val="a"/>
    <w:link w:val="a4"/>
    <w:uiPriority w:val="10"/>
    <w:qFormat/>
    <w:rsid w:val="00BD71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1FC"/>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BD71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1FC"/>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BD71FC"/>
    <w:pPr>
      <w:spacing w:before="160" w:after="160"/>
      <w:jc w:val="center"/>
    </w:pPr>
    <w:rPr>
      <w:i/>
      <w:iCs/>
      <w:color w:val="404040" w:themeColor="text1" w:themeTint="BF"/>
    </w:rPr>
  </w:style>
  <w:style w:type="character" w:customStyle="1" w:styleId="a8">
    <w:name w:val="引用 字符"/>
    <w:basedOn w:val="a0"/>
    <w:link w:val="a7"/>
    <w:uiPriority w:val="29"/>
    <w:rsid w:val="00BD71FC"/>
    <w:rPr>
      <w:i/>
      <w:iCs/>
      <w:noProof/>
      <w:color w:val="404040" w:themeColor="text1" w:themeTint="BF"/>
    </w:rPr>
  </w:style>
  <w:style w:type="paragraph" w:styleId="a9">
    <w:name w:val="List Paragraph"/>
    <w:basedOn w:val="a"/>
    <w:uiPriority w:val="34"/>
    <w:qFormat/>
    <w:rsid w:val="00BD71FC"/>
    <w:pPr>
      <w:ind w:left="720"/>
      <w:contextualSpacing/>
    </w:pPr>
  </w:style>
  <w:style w:type="character" w:styleId="aa">
    <w:name w:val="Intense Emphasis"/>
    <w:basedOn w:val="a0"/>
    <w:uiPriority w:val="21"/>
    <w:qFormat/>
    <w:rsid w:val="00BD71FC"/>
    <w:rPr>
      <w:i/>
      <w:iCs/>
      <w:color w:val="2F5496" w:themeColor="accent1" w:themeShade="BF"/>
    </w:rPr>
  </w:style>
  <w:style w:type="paragraph" w:styleId="ab">
    <w:name w:val="Intense Quote"/>
    <w:basedOn w:val="a"/>
    <w:next w:val="a"/>
    <w:link w:val="ac"/>
    <w:uiPriority w:val="30"/>
    <w:qFormat/>
    <w:rsid w:val="00BD7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1FC"/>
    <w:rPr>
      <w:i/>
      <w:iCs/>
      <w:noProof/>
      <w:color w:val="2F5496" w:themeColor="accent1" w:themeShade="BF"/>
    </w:rPr>
  </w:style>
  <w:style w:type="character" w:styleId="ad">
    <w:name w:val="Intense Reference"/>
    <w:basedOn w:val="a0"/>
    <w:uiPriority w:val="32"/>
    <w:qFormat/>
    <w:rsid w:val="00BD71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彭天曜律师（Lawyer:PENG,Tianyao）</dc:creator>
  <cp:keywords/>
  <dc:description/>
  <cp:lastModifiedBy>彭天曜律师（Lawyer:PENG,Tianyao）</cp:lastModifiedBy>
  <cp:revision>1</cp:revision>
  <dcterms:created xsi:type="dcterms:W3CDTF">2025-11-03T16:50:00Z</dcterms:created>
  <dcterms:modified xsi:type="dcterms:W3CDTF">2025-11-03T16:50:00Z</dcterms:modified>
</cp:coreProperties>
</file>