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19FD" w14:textId="1A9FDDEC" w:rsidR="009B3E5B" w:rsidRPr="009B3E5B" w:rsidRDefault="009B3E5B" w:rsidP="009B3E5B">
      <w:r w:rsidRPr="009B3E5B">
        <w:rPr>
          <w:rFonts w:hint="eastAsia"/>
        </w:rPr>
        <w:t>国家药监局关于将牛角膜浑浊度和渗透性试验方法等5项方法纳入化妆品安全技术规范（2015年版）的通告（2025年第32号）</w:t>
      </w:r>
    </w:p>
    <w:p w14:paraId="77DB9124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国家药监局组织起草的《牛角膜浑浊度和渗透性试验方法》《体外皮肤变态反应 动力学直接多肽反应试验方法》《皮肤吸收体外试验方法》《免疫毒性试验方法》《口腔黏膜刺激试验方法》等5项方法，经国家药监局化妆品标准化技术委员会主任会议审查通过，现予以发布，纳入《化妆品安全技术规范（2015年版）》相应章节（见附件）。</w:t>
      </w:r>
    </w:p>
    <w:p w14:paraId="3D5BFAD4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上述5项方法均为新增方法，自2026年3月1日起实施。在实施前，鼓励化妆品注册、备案相关检验采用上述方法。</w:t>
      </w:r>
    </w:p>
    <w:p w14:paraId="0CB26E76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特此通告。</w:t>
      </w:r>
    </w:p>
    <w:p w14:paraId="3444575F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</w:t>
      </w:r>
    </w:p>
    <w:p w14:paraId="3CD89B53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附件：1.《化妆品安全技术规范（2015年版）》5项标准制定项目汇总表</w:t>
      </w:r>
    </w:p>
    <w:p w14:paraId="5CCB8163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　　　2.牛角膜浑浊度和渗透性试验方法</w:t>
      </w:r>
    </w:p>
    <w:p w14:paraId="062FA2B0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　　　3.体外皮肤变态反应 动力学直接多肽反应试验方法</w:t>
      </w:r>
    </w:p>
    <w:p w14:paraId="6C80E6BE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　　　4.皮肤吸收体外试验方法</w:t>
      </w:r>
    </w:p>
    <w:p w14:paraId="2820F8B1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　　　5.免疫毒性试验方法</w:t>
      </w:r>
    </w:p>
    <w:p w14:paraId="13F166E9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　　　6.口腔黏膜刺激试验方法</w:t>
      </w:r>
    </w:p>
    <w:p w14:paraId="2F05AC7F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 xml:space="preserve">　　</w:t>
      </w:r>
    </w:p>
    <w:p w14:paraId="07B7524A" w14:textId="77777777" w:rsidR="009B3E5B" w:rsidRPr="009B3E5B" w:rsidRDefault="009B3E5B" w:rsidP="009B3E5B">
      <w:pPr>
        <w:rPr>
          <w:rFonts w:hint="eastAsia"/>
        </w:rPr>
      </w:pPr>
    </w:p>
    <w:p w14:paraId="1EDCA5AB" w14:textId="77777777" w:rsidR="009B3E5B" w:rsidRPr="009B3E5B" w:rsidRDefault="009B3E5B" w:rsidP="009B3E5B">
      <w:pPr>
        <w:rPr>
          <w:rFonts w:hint="eastAsia"/>
        </w:rPr>
      </w:pPr>
    </w:p>
    <w:p w14:paraId="11CC6139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>国家药监局</w:t>
      </w:r>
    </w:p>
    <w:p w14:paraId="68BA81D9" w14:textId="77777777" w:rsidR="009B3E5B" w:rsidRPr="009B3E5B" w:rsidRDefault="009B3E5B" w:rsidP="009B3E5B">
      <w:pPr>
        <w:rPr>
          <w:rFonts w:hint="eastAsia"/>
        </w:rPr>
      </w:pPr>
      <w:r w:rsidRPr="009B3E5B">
        <w:rPr>
          <w:rFonts w:hint="eastAsia"/>
        </w:rPr>
        <w:t>2025年8月28日</w:t>
      </w:r>
    </w:p>
    <w:p w14:paraId="1367B6C7" w14:textId="0C349619" w:rsidR="007D47A6" w:rsidRPr="007D47A6" w:rsidRDefault="007D47A6" w:rsidP="007D47A6">
      <w:r w:rsidRPr="007D47A6">
        <w:br/>
      </w:r>
      <w:r w:rsidRPr="007D47A6">
        <w:rPr>
          <w:rFonts w:hint="eastAsia"/>
        </w:rPr>
        <w:drawing>
          <wp:inline distT="0" distB="0" distL="0" distR="0" wp14:anchorId="3AAB3215" wp14:editId="2646FBBF">
            <wp:extent cx="152400" cy="152400"/>
            <wp:effectExtent l="0" t="0" r="0" b="0"/>
            <wp:docPr id="5985343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附件1 《化妆品安全技术规范》5项标准制定项目汇总表.doc" w:history="1">
        <w:r w:rsidRPr="007D47A6">
          <w:rPr>
            <w:rStyle w:val="ae"/>
            <w:rFonts w:hint="eastAsia"/>
          </w:rPr>
          <w:t>附件1 《化妆品安全技术规范》5项标准制定项目汇总表.doc</w:t>
        </w:r>
      </w:hyperlink>
    </w:p>
    <w:p w14:paraId="0CDBB2D5" w14:textId="56BB0CC2" w:rsidR="007D47A6" w:rsidRPr="007D47A6" w:rsidRDefault="007D47A6" w:rsidP="007D47A6">
      <w:r w:rsidRPr="007D47A6">
        <w:rPr>
          <w:rFonts w:hint="eastAsia"/>
        </w:rPr>
        <w:drawing>
          <wp:inline distT="0" distB="0" distL="0" distR="0" wp14:anchorId="54AD18E8" wp14:editId="19FB3F60">
            <wp:extent cx="152400" cy="152400"/>
            <wp:effectExtent l="0" t="0" r="0" b="0"/>
            <wp:docPr id="50198045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附件2 牛角膜浑浊度和渗透性试验方法.docx" w:history="1">
        <w:r w:rsidRPr="007D47A6">
          <w:rPr>
            <w:rStyle w:val="ae"/>
            <w:rFonts w:hint="eastAsia"/>
          </w:rPr>
          <w:t>附件2 牛角膜浑浊度和渗透性试验方法.docx</w:t>
        </w:r>
      </w:hyperlink>
    </w:p>
    <w:p w14:paraId="6368543E" w14:textId="47FF5D54" w:rsidR="007D47A6" w:rsidRPr="007D47A6" w:rsidRDefault="007D47A6" w:rsidP="007D47A6">
      <w:r w:rsidRPr="007D47A6">
        <w:rPr>
          <w:rFonts w:hint="eastAsia"/>
        </w:rPr>
        <w:drawing>
          <wp:inline distT="0" distB="0" distL="0" distR="0" wp14:anchorId="0FA16EDA" wp14:editId="14C0EAE0">
            <wp:extent cx="152400" cy="152400"/>
            <wp:effectExtent l="0" t="0" r="0" b="0"/>
            <wp:docPr id="97874164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附件3 体外皮肤变态反应  动力学直接多肽反应试验方法.docx" w:history="1">
        <w:r w:rsidRPr="007D47A6">
          <w:rPr>
            <w:rStyle w:val="ae"/>
            <w:rFonts w:hint="eastAsia"/>
          </w:rPr>
          <w:t>附件3 体外皮肤变态反应  动力学直接多肽反应试验方法.docx</w:t>
        </w:r>
      </w:hyperlink>
    </w:p>
    <w:p w14:paraId="3474B793" w14:textId="1811F7A7" w:rsidR="007D47A6" w:rsidRPr="007D47A6" w:rsidRDefault="007D47A6" w:rsidP="007D47A6">
      <w:r w:rsidRPr="007D47A6">
        <w:rPr>
          <w:rFonts w:hint="eastAsia"/>
        </w:rPr>
        <w:drawing>
          <wp:inline distT="0" distB="0" distL="0" distR="0" wp14:anchorId="3F264A42" wp14:editId="59832AE8">
            <wp:extent cx="152400" cy="152400"/>
            <wp:effectExtent l="0" t="0" r="0" b="0"/>
            <wp:docPr id="63048223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附件4 皮肤吸收体外试验方法.docx" w:history="1">
        <w:r w:rsidRPr="007D47A6">
          <w:rPr>
            <w:rStyle w:val="ae"/>
            <w:rFonts w:hint="eastAsia"/>
          </w:rPr>
          <w:t>附件4 皮肤吸收体外试验方法.docx</w:t>
        </w:r>
      </w:hyperlink>
    </w:p>
    <w:p w14:paraId="7CB34F33" w14:textId="0DC0A6C7" w:rsidR="007D47A6" w:rsidRPr="007D47A6" w:rsidRDefault="007D47A6" w:rsidP="007D47A6">
      <w:r w:rsidRPr="007D47A6">
        <w:rPr>
          <w:rFonts w:hint="eastAsia"/>
        </w:rPr>
        <w:drawing>
          <wp:inline distT="0" distB="0" distL="0" distR="0" wp14:anchorId="3AFB8E22" wp14:editId="7458CD15">
            <wp:extent cx="152400" cy="152400"/>
            <wp:effectExtent l="0" t="0" r="0" b="0"/>
            <wp:docPr id="50880118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附件5 免疫毒性试验方法.docx" w:history="1">
        <w:r w:rsidRPr="007D47A6">
          <w:rPr>
            <w:rStyle w:val="ae"/>
            <w:rFonts w:hint="eastAsia"/>
          </w:rPr>
          <w:t>附件5 免疫毒性试验方法.docx</w:t>
        </w:r>
      </w:hyperlink>
    </w:p>
    <w:p w14:paraId="05F25EB4" w14:textId="3515E698" w:rsidR="007D47A6" w:rsidRPr="007D47A6" w:rsidRDefault="007D47A6" w:rsidP="007D47A6">
      <w:r w:rsidRPr="007D47A6">
        <w:rPr>
          <w:rFonts w:hint="eastAsia"/>
        </w:rPr>
        <w:drawing>
          <wp:inline distT="0" distB="0" distL="0" distR="0" wp14:anchorId="5F88851E" wp14:editId="767657DE">
            <wp:extent cx="152400" cy="152400"/>
            <wp:effectExtent l="0" t="0" r="0" b="0"/>
            <wp:docPr id="77423025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附件6 口腔黏膜刺激试验方法.docx" w:history="1">
        <w:r w:rsidRPr="007D47A6">
          <w:rPr>
            <w:rStyle w:val="ae"/>
            <w:rFonts w:hint="eastAsia"/>
          </w:rPr>
          <w:t>附件6 口腔黏膜刺激试验方法.docx</w:t>
        </w:r>
      </w:hyperlink>
    </w:p>
    <w:p w14:paraId="256C5C48" w14:textId="77777777" w:rsidR="00650F85" w:rsidRPr="007D47A6" w:rsidRDefault="00650F85">
      <w:pPr>
        <w:rPr>
          <w:rFonts w:hint="eastAsia"/>
        </w:rPr>
      </w:pPr>
    </w:p>
    <w:sectPr w:rsidR="00650F85" w:rsidRPr="007D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5B"/>
    <w:rsid w:val="00650F85"/>
    <w:rsid w:val="007D47A6"/>
    <w:rsid w:val="008A08F4"/>
    <w:rsid w:val="009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EA70"/>
  <w15:chartTrackingRefBased/>
  <w15:docId w15:val="{C2B0329C-A916-40BE-963C-BE9C7AC7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B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5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E5B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E5B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E5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E5B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E5B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3E5B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E5B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E5B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E5B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E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E5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E5B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E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E5B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E5B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E5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B3E5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B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pa.gov.cn/directory/web/nmpa/images/1756455852423065499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directory/web/nmpa/images/1756455847505032857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pa.gov.cn/directory/web/nmpa/images/1756455842676036806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mpa.gov.cn/directory/web/nmpa/images/1756455838208094613.doc" TargetMode="External"/><Relationship Id="rId10" Type="http://schemas.openxmlformats.org/officeDocument/2006/relationships/hyperlink" Target="https://www.nmpa.gov.cn/directory/web/nmpa/images/1756455860937003090.docx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nmpa.gov.cn/directory/web/nmpa/images/175645585694005115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2</cp:revision>
  <dcterms:created xsi:type="dcterms:W3CDTF">2025-09-01T09:12:00Z</dcterms:created>
  <dcterms:modified xsi:type="dcterms:W3CDTF">2025-09-01T09:12:00Z</dcterms:modified>
</cp:coreProperties>
</file>