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F697" w14:textId="77777777" w:rsidR="00497A7B" w:rsidRPr="00497A7B" w:rsidRDefault="00497A7B" w:rsidP="00497A7B">
      <w:pPr>
        <w:widowControl/>
        <w:spacing w:line="525" w:lineRule="atLeast"/>
        <w:jc w:val="center"/>
        <w:rPr>
          <w:rFonts w:ascii="微软雅黑" w:eastAsia="微软雅黑" w:hAnsi="微软雅黑" w:cs="宋体"/>
          <w:noProof w:val="0"/>
          <w:color w:val="1966A7"/>
          <w:kern w:val="0"/>
          <w:sz w:val="36"/>
          <w:szCs w:val="36"/>
        </w:rPr>
      </w:pPr>
      <w:r w:rsidRPr="00497A7B">
        <w:rPr>
          <w:rFonts w:ascii="微软雅黑" w:eastAsia="微软雅黑" w:hAnsi="微软雅黑" w:cs="宋体" w:hint="eastAsia"/>
          <w:noProof w:val="0"/>
          <w:color w:val="1966A7"/>
          <w:kern w:val="0"/>
          <w:sz w:val="36"/>
          <w:szCs w:val="36"/>
        </w:rPr>
        <w:t>关于发布《血站采供血基本数据集》等4项推荐性卫生行业标准的通告</w:t>
      </w:r>
    </w:p>
    <w:p w14:paraId="2A687320" w14:textId="77777777" w:rsidR="00497A7B" w:rsidRPr="00497A7B" w:rsidRDefault="00497A7B" w:rsidP="00497A7B">
      <w:pPr>
        <w:widowControl/>
        <w:jc w:val="center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proofErr w:type="gramStart"/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国卫通〔2025〕</w:t>
      </w:r>
      <w:proofErr w:type="gramEnd"/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7号</w:t>
      </w:r>
    </w:p>
    <w:p w14:paraId="041559A9" w14:textId="77777777" w:rsidR="00497A7B" w:rsidRPr="00497A7B" w:rsidRDefault="00497A7B" w:rsidP="00497A7B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br/>
      </w:r>
    </w:p>
    <w:p w14:paraId="421D635D" w14:textId="77777777" w:rsidR="00497A7B" w:rsidRPr="00497A7B" w:rsidRDefault="00497A7B" w:rsidP="00497A7B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现发布《血站采供血基本数据集》等4项推荐性卫生行业标准，编号和名称如下：</w:t>
      </w:r>
    </w:p>
    <w:p w14:paraId="7C79BEBF" w14:textId="77777777" w:rsidR="00497A7B" w:rsidRPr="00497A7B" w:rsidRDefault="00497A7B" w:rsidP="00497A7B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497A7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drawing>
          <wp:inline distT="0" distB="0" distL="0" distR="0" wp14:anchorId="3E85C674" wp14:editId="2D1B305A">
            <wp:extent cx="156210" cy="1562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WS/T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865—2025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</w:hyperlink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血站采供血基本数据集</w:t>
      </w:r>
    </w:p>
    <w:p w14:paraId="6597AF07" w14:textId="77777777" w:rsidR="00497A7B" w:rsidRPr="00497A7B" w:rsidRDefault="00497A7B" w:rsidP="00497A7B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497A7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drawing>
          <wp:inline distT="0" distB="0" distL="0" distR="0" wp14:anchorId="071AA8DE" wp14:editId="24CCFAA8">
            <wp:extent cx="156210" cy="15621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WS/T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866—2025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</w:hyperlink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医疗机构临床用</w:t>
      </w:r>
      <w:proofErr w:type="gramStart"/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血基本</w:t>
      </w:r>
      <w:proofErr w:type="gramEnd"/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数据集</w:t>
      </w:r>
    </w:p>
    <w:p w14:paraId="07229350" w14:textId="77777777" w:rsidR="00497A7B" w:rsidRPr="00497A7B" w:rsidRDefault="00497A7B" w:rsidP="00497A7B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497A7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drawing>
          <wp:inline distT="0" distB="0" distL="0" distR="0" wp14:anchorId="66B8C6BC" wp14:editId="59AD13FB">
            <wp:extent cx="156210" cy="15621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WS/T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867—2025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</w:hyperlink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医疗机构临床用血信息系统基本功能标准</w:t>
      </w:r>
    </w:p>
    <w:p w14:paraId="547A0987" w14:textId="77777777" w:rsidR="00497A7B" w:rsidRPr="00497A7B" w:rsidRDefault="00497A7B" w:rsidP="00497A7B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497A7B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drawing>
          <wp:inline distT="0" distB="0" distL="0" distR="0" wp14:anchorId="5FE45D6C" wp14:editId="56E0DEE3">
            <wp:extent cx="156210" cy="15621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WS/T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869—2025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  <w:r w:rsidRPr="00497A7B">
          <w:rPr>
            <w:rFonts w:ascii="仿宋" w:eastAsia="仿宋" w:hAnsi="仿宋" w:cs="宋体" w:hint="eastAsia"/>
            <w:noProof w:val="0"/>
            <w:color w:val="484848"/>
            <w:kern w:val="0"/>
            <w:sz w:val="32"/>
            <w:szCs w:val="32"/>
            <w:u w:val="single"/>
          </w:rPr>
          <w:t> </w:t>
        </w:r>
      </w:hyperlink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一般血站设备配置基本标准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497A7B" w:rsidRPr="00497A7B" w14:paraId="019890A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C52FD" w14:textId="77777777" w:rsidR="00497A7B" w:rsidRPr="00497A7B" w:rsidRDefault="00497A7B" w:rsidP="00497A7B">
            <w:pPr>
              <w:widowControl/>
              <w:jc w:val="left"/>
              <w:rPr>
                <w:rFonts w:ascii="仿宋" w:eastAsia="仿宋" w:hAnsi="仿宋" w:cs="宋体" w:hint="eastAsia"/>
                <w:noProof w:val="0"/>
                <w:color w:val="484848"/>
                <w:kern w:val="0"/>
                <w:sz w:val="32"/>
                <w:szCs w:val="32"/>
              </w:rPr>
            </w:pPr>
          </w:p>
        </w:tc>
      </w:tr>
    </w:tbl>
    <w:p w14:paraId="54F2EB61" w14:textId="77777777" w:rsidR="00497A7B" w:rsidRPr="00497A7B" w:rsidRDefault="00497A7B" w:rsidP="00497A7B">
      <w:pPr>
        <w:widowControl/>
        <w:ind w:firstLine="480"/>
        <w:rPr>
          <w:rFonts w:ascii="仿宋" w:eastAsia="仿宋" w:hAnsi="仿宋" w:cs="宋体"/>
          <w:noProof w:val="0"/>
          <w:color w:val="484848"/>
          <w:kern w:val="0"/>
          <w:sz w:val="32"/>
          <w:szCs w:val="32"/>
        </w:rPr>
      </w:pPr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上述标准自2026年1月1日起施行。</w:t>
      </w:r>
    </w:p>
    <w:p w14:paraId="063CBA5D" w14:textId="77777777" w:rsidR="00497A7B" w:rsidRPr="00497A7B" w:rsidRDefault="00497A7B" w:rsidP="00497A7B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特此通告。</w:t>
      </w:r>
    </w:p>
    <w:p w14:paraId="62C643B8" w14:textId="77777777" w:rsidR="00497A7B" w:rsidRPr="00497A7B" w:rsidRDefault="00497A7B" w:rsidP="00497A7B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br/>
      </w:r>
    </w:p>
    <w:p w14:paraId="6B20E40D" w14:textId="77777777" w:rsidR="00497A7B" w:rsidRPr="00497A7B" w:rsidRDefault="00497A7B" w:rsidP="00497A7B">
      <w:pPr>
        <w:widowControl/>
        <w:ind w:firstLine="480"/>
        <w:jc w:val="right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国家卫生健康委</w:t>
      </w:r>
    </w:p>
    <w:p w14:paraId="67D9AA60" w14:textId="77777777" w:rsidR="00497A7B" w:rsidRPr="00497A7B" w:rsidRDefault="00497A7B" w:rsidP="00497A7B">
      <w:pPr>
        <w:widowControl/>
        <w:ind w:firstLine="480"/>
        <w:jc w:val="right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497A7B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2025年7月16日</w:t>
      </w:r>
    </w:p>
    <w:p w14:paraId="5F4693BF" w14:textId="77777777" w:rsidR="00650F85" w:rsidRDefault="00650F85">
      <w:pPr>
        <w:rPr>
          <w:rFonts w:hint="eastAsia"/>
        </w:rPr>
      </w:pPr>
    </w:p>
    <w:sectPr w:rsidR="0065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7B"/>
    <w:rsid w:val="00037B2C"/>
    <w:rsid w:val="00497A7B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4F93"/>
  <w15:chartTrackingRefBased/>
  <w15:docId w15:val="{813ADFFC-6248-419C-B972-34B72005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49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A7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A7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A7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A7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A7B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A7B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A7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A7B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A7B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7A7B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A7B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A7B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A7B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A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A7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A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A7B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A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A7B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A7B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c.gov.cn/fzs/c100048/202507/591d171cba144968ab61a43720677a39/files/WST%20869%E2%80%9420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hc.gov.cn/fzs/c100048/202507/591d171cba144968ab61a43720677a39/files/WST%20867%E2%80%942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c.gov.cn/fzs/c100048/202507/591d171cba144968ab61a43720677a39/files/WST%20866%E2%80%942025.pdf" TargetMode="External"/><Relationship Id="rId5" Type="http://schemas.openxmlformats.org/officeDocument/2006/relationships/hyperlink" Target="https://www.nhc.gov.cn/fzs/c100048/202507/591d171cba144968ab61a43720677a39/files/WST%20865%E2%80%942025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2025-07-31T03:38:00Z</dcterms:created>
  <dcterms:modified xsi:type="dcterms:W3CDTF">2025-07-31T03:38:00Z</dcterms:modified>
</cp:coreProperties>
</file>