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341C4" w14:textId="77777777" w:rsidR="0004244D" w:rsidRPr="0004244D" w:rsidRDefault="0004244D" w:rsidP="0004244D">
      <w:pPr>
        <w:jc w:val="center"/>
      </w:pPr>
      <w:r w:rsidRPr="0004244D">
        <w:rPr>
          <w:rFonts w:hint="eastAsia"/>
        </w:rPr>
        <w:t>国家药监局综合司关于印发2025年国家医疗器械抽检产品检验方案的通知</w:t>
      </w:r>
    </w:p>
    <w:p w14:paraId="3C8ECC9A" w14:textId="77777777" w:rsidR="0004244D" w:rsidRPr="0004244D" w:rsidRDefault="0004244D" w:rsidP="0004244D">
      <w:pPr>
        <w:jc w:val="center"/>
        <w:rPr>
          <w:rFonts w:hint="eastAsia"/>
        </w:rPr>
      </w:pPr>
      <w:r w:rsidRPr="0004244D">
        <w:rPr>
          <w:rFonts w:hint="eastAsia"/>
        </w:rPr>
        <w:t>药监综械管〔2025〕28号</w:t>
      </w:r>
    </w:p>
    <w:tbl>
      <w:tblPr>
        <w:tblW w:w="0" w:type="auto"/>
        <w:tblCellMar>
          <w:left w:w="0" w:type="dxa"/>
          <w:right w:w="0" w:type="dxa"/>
        </w:tblCellMar>
        <w:tblLook w:val="04A0" w:firstRow="1" w:lastRow="0" w:firstColumn="1" w:lastColumn="0" w:noHBand="0" w:noVBand="1"/>
      </w:tblPr>
      <w:tblGrid>
        <w:gridCol w:w="58"/>
        <w:gridCol w:w="346"/>
      </w:tblGrid>
      <w:tr w:rsidR="0004244D" w:rsidRPr="0004244D" w14:paraId="6BB18844" w14:textId="77777777" w:rsidTr="0004244D">
        <w:tc>
          <w:tcPr>
            <w:tcW w:w="0" w:type="auto"/>
            <w:tcMar>
              <w:top w:w="60" w:type="dxa"/>
              <w:left w:w="0" w:type="dxa"/>
              <w:bottom w:w="0" w:type="dxa"/>
              <w:right w:w="0" w:type="dxa"/>
            </w:tcMar>
            <w:vAlign w:val="center"/>
            <w:hideMark/>
          </w:tcPr>
          <w:p w14:paraId="4D4C05F6" w14:textId="0C0B783C" w:rsidR="0004244D" w:rsidRPr="0004244D" w:rsidRDefault="0004244D" w:rsidP="0004244D">
            <w:pPr>
              <w:rPr>
                <w:rFonts w:hint="eastAsia"/>
              </w:rPr>
            </w:pPr>
            <w:r w:rsidRPr="0004244D">
              <w:t> </w:t>
            </w:r>
          </w:p>
        </w:tc>
        <w:tc>
          <w:tcPr>
            <w:tcW w:w="0" w:type="auto"/>
            <w:vAlign w:val="center"/>
            <w:hideMark/>
          </w:tcPr>
          <w:p w14:paraId="788D9C49" w14:textId="2160A804" w:rsidR="0004244D" w:rsidRPr="0004244D" w:rsidRDefault="0004244D" w:rsidP="0004244D">
            <w:r w:rsidRPr="0004244D">
              <w:t>    </w:t>
            </w:r>
            <w:hyperlink r:id="rId4" w:tgtFrame="_blank" w:history="1">
              <w:r w:rsidRPr="0004244D">
                <w:rPr>
                  <w:rStyle w:val="ae"/>
                  <w:rFonts w:hint="eastAsia"/>
                </w:rPr>
                <w:t> </w:t>
              </w:r>
            </w:hyperlink>
            <w:hyperlink r:id="rId5" w:tgtFrame="_blank" w:history="1">
              <w:r w:rsidRPr="0004244D">
                <w:rPr>
                  <w:rStyle w:val="ae"/>
                  <w:rFonts w:hint="eastAsia"/>
                </w:rPr>
                <w:t> </w:t>
              </w:r>
            </w:hyperlink>
          </w:p>
        </w:tc>
      </w:tr>
    </w:tbl>
    <w:p w14:paraId="76F302CA" w14:textId="77777777" w:rsidR="0004244D" w:rsidRPr="0004244D" w:rsidRDefault="0004244D" w:rsidP="0004244D">
      <w:pPr>
        <w:rPr>
          <w:rFonts w:hint="eastAsia"/>
        </w:rPr>
      </w:pPr>
      <w:r w:rsidRPr="0004244D">
        <w:rPr>
          <w:rFonts w:hint="eastAsia"/>
        </w:rPr>
        <w:t>各省、自治区、直辖市和新疆生产建设兵团药品监督管理局，中国食品药品检定研究院，有关检验机构：</w:t>
      </w:r>
      <w:r w:rsidRPr="0004244D">
        <w:rPr>
          <w:rFonts w:hint="eastAsia"/>
        </w:rPr>
        <w:br/>
        <w:t xml:space="preserve">　　根据《国家药监局综合司关于开展2025年国家医疗器械质量抽查检验工作的通知》（药监综械管〔2025〕3号），现将2025年国家医疗器械抽检产品检验方案印发给你们，请认真组织实施。有关要求如下：</w:t>
      </w:r>
      <w:r w:rsidRPr="0004244D">
        <w:rPr>
          <w:rFonts w:hint="eastAsia"/>
        </w:rPr>
        <w:br/>
        <w:t xml:space="preserve">　　</w:t>
      </w:r>
      <w:r w:rsidRPr="0004244D">
        <w:rPr>
          <w:rFonts w:hint="eastAsia"/>
          <w:b/>
          <w:bCs/>
        </w:rPr>
        <w:t>一、检验工作要求</w:t>
      </w:r>
      <w:r w:rsidRPr="0004244D">
        <w:rPr>
          <w:rFonts w:hint="eastAsia"/>
        </w:rPr>
        <w:br/>
        <w:t xml:space="preserve">　　各省、自治区、直辖市和新疆生产建设兵团药品监督管理局、中国食品药品检定研究院应当按照2025年国家医疗器械抽检品种检验方案（见附件1），组织有关检验机构按照医疗器械强制性标准、经注册或者备案的产品技术要求开展检验工作。</w:t>
      </w:r>
      <w:r w:rsidRPr="0004244D">
        <w:rPr>
          <w:rFonts w:hint="eastAsia"/>
        </w:rPr>
        <w:br/>
        <w:t xml:space="preserve">　　检验机构应当加强对未能依照检验方案完成全部适用项目检验情况的收集。对于注册人备案人或者进口产品代理人未能提供完成检验所需全部资料和配套必需品的，以及产品技术要求不完善导致无法完成检验的，应当向注册人备案人或者进口产品代理人所在地省级药品监督管理部门出具国家医疗器械抽检缺项检验提示函，该提示将通过国家医疗器械抽检信息系统传递，省级药品监督管理部门应当对相关情况及时调查处理。对于无正当理由不配合医疗器械质量抽查检验工作的，应当将调查结果记入企业信用档案，并通过其他形式加强对企业和相关产品的监督管理，增加监督检查强度和频次。对于产品技术要求不完善的，应当监督企业尽快完善产品技术要求，并依法依规完成变更。相关调查处理结果应当在提示函印发后30个工作日内录入国家医疗器械抽检信息系统。</w:t>
      </w:r>
      <w:r w:rsidRPr="0004244D">
        <w:rPr>
          <w:rFonts w:hint="eastAsia"/>
        </w:rPr>
        <w:br/>
        <w:t xml:space="preserve">　　</w:t>
      </w:r>
      <w:r w:rsidRPr="0004244D">
        <w:rPr>
          <w:rFonts w:hint="eastAsia"/>
          <w:b/>
          <w:bCs/>
        </w:rPr>
        <w:t>二、复检工作要求</w:t>
      </w:r>
      <w:r w:rsidRPr="0004244D">
        <w:rPr>
          <w:rFonts w:hint="eastAsia"/>
        </w:rPr>
        <w:br/>
        <w:t xml:space="preserve">　　2025年国家监督抽检的复检受理部门为医疗器械注册人备案人或者进口产品代理人所在地省级药品监督管理部门。对同一检验报告的复检申请只办理一次。受理复检申请的省级药品监督管理部门依据2025年国家医疗器械抽检复检机构名单（见附件2），确定复检机构进行复检，复检机构不得拒绝。对检验方案中明确为风险监测抽检的，不予复检。</w:t>
      </w:r>
      <w:r w:rsidRPr="0004244D">
        <w:rPr>
          <w:rFonts w:hint="eastAsia"/>
        </w:rPr>
        <w:br/>
        <w:t xml:space="preserve">　　列入复检机构名单的检验机构，应当持续保持其相应品种及项目的检验能力、检验资质，有义务承接省级抽检和地方药品监督管理部门执法工作中的复检工作。复检机构应当主动公开复检联系方式，为复检工作提供便利。2025年国家医疗器械抽检复检工作要求详见附件3。</w:t>
      </w:r>
      <w:r w:rsidRPr="0004244D">
        <w:rPr>
          <w:rFonts w:hint="eastAsia"/>
        </w:rPr>
        <w:br/>
        <w:t xml:space="preserve">　　当事人对检验结论有异议且无法通过复检验证的，可以向所在地省级药品监督管理部门提出异议申诉书面申请，具体时限及流程按照《国家医疗器械质量抽查检验工作程序》（药监综械管〔2021〕46号）中有关异议申诉规定办理。</w:t>
      </w:r>
      <w:r w:rsidRPr="0004244D">
        <w:rPr>
          <w:rFonts w:hint="eastAsia"/>
        </w:rPr>
        <w:br/>
        <w:t xml:space="preserve">　　</w:t>
      </w:r>
      <w:r w:rsidRPr="0004244D">
        <w:rPr>
          <w:rFonts w:hint="eastAsia"/>
          <w:b/>
          <w:bCs/>
        </w:rPr>
        <w:t>三、检验结果处置要求</w:t>
      </w:r>
      <w:r w:rsidRPr="0004244D">
        <w:rPr>
          <w:rFonts w:hint="eastAsia"/>
        </w:rPr>
        <w:br/>
        <w:t xml:space="preserve">　　医疗器械注册人备案人和被抽样单位收到产品不符合规定报告后，应当立即采取风险控制措施。药品监督管理部门应当及时组织调查处置，符合立案条件的，及时立案查处；涉嫌犯罪的，依法移交司法机关。</w:t>
      </w:r>
      <w:r w:rsidRPr="0004244D">
        <w:rPr>
          <w:rFonts w:hint="eastAsia"/>
        </w:rPr>
        <w:br/>
        <w:t xml:space="preserve">　　　　</w:t>
      </w:r>
      <w:r w:rsidRPr="0004244D">
        <w:rPr>
          <w:rFonts w:hint="eastAsia"/>
        </w:rPr>
        <w:br/>
        <w:t xml:space="preserve">　　附件：1.2025年国家医疗器械抽检品种检验方案</w:t>
      </w:r>
      <w:r w:rsidRPr="0004244D">
        <w:rPr>
          <w:rFonts w:hint="eastAsia"/>
        </w:rPr>
        <w:br/>
        <w:t xml:space="preserve">　　　　　2.2025年国家医疗器械抽检复检机构名单</w:t>
      </w:r>
      <w:r w:rsidRPr="0004244D">
        <w:rPr>
          <w:rFonts w:hint="eastAsia"/>
        </w:rPr>
        <w:br/>
        <w:t xml:space="preserve">　　　　　3.2025年国家医疗器械抽检复检工作要求</w:t>
      </w:r>
    </w:p>
    <w:p w14:paraId="63BEFF82" w14:textId="77777777" w:rsidR="0004244D" w:rsidRPr="0004244D" w:rsidRDefault="0004244D" w:rsidP="0004244D">
      <w:pPr>
        <w:jc w:val="right"/>
        <w:rPr>
          <w:rFonts w:hint="eastAsia"/>
        </w:rPr>
      </w:pPr>
      <w:r w:rsidRPr="0004244D">
        <w:rPr>
          <w:rFonts w:hint="eastAsia"/>
        </w:rPr>
        <w:t xml:space="preserve">　　国家药监局综合司</w:t>
      </w:r>
    </w:p>
    <w:p w14:paraId="315D0F72" w14:textId="77777777" w:rsidR="0004244D" w:rsidRPr="0004244D" w:rsidRDefault="0004244D" w:rsidP="0004244D">
      <w:pPr>
        <w:jc w:val="right"/>
        <w:rPr>
          <w:rFonts w:hint="eastAsia"/>
        </w:rPr>
      </w:pPr>
      <w:r w:rsidRPr="0004244D">
        <w:rPr>
          <w:rFonts w:hint="eastAsia"/>
        </w:rPr>
        <w:t xml:space="preserve">　　2025年3月24日</w:t>
      </w:r>
    </w:p>
    <w:p w14:paraId="5A264D7F" w14:textId="7B936742" w:rsidR="0004244D" w:rsidRPr="0004244D" w:rsidRDefault="0004244D" w:rsidP="0004244D">
      <w:pPr>
        <w:rPr>
          <w:rFonts w:hint="eastAsia"/>
        </w:rPr>
      </w:pPr>
      <w:r w:rsidRPr="0004244D">
        <w:rPr>
          <w:rFonts w:hint="eastAsia"/>
        </w:rPr>
        <w:drawing>
          <wp:inline distT="0" distB="0" distL="0" distR="0" wp14:anchorId="71D71D87" wp14:editId="55E2DF0A">
            <wp:extent cx="152400" cy="152400"/>
            <wp:effectExtent l="0" t="0" r="0" b="0"/>
            <wp:docPr id="50390062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ooltip="药监综械管〔2025〕28号附件1.docx" w:history="1">
        <w:r w:rsidRPr="0004244D">
          <w:rPr>
            <w:rStyle w:val="ae"/>
            <w:rFonts w:hint="eastAsia"/>
          </w:rPr>
          <w:t>药监综械管〔2025〕28号附件1.docx</w:t>
        </w:r>
      </w:hyperlink>
    </w:p>
    <w:p w14:paraId="0A77ED1D" w14:textId="5520C953" w:rsidR="0004244D" w:rsidRPr="0004244D" w:rsidRDefault="0004244D" w:rsidP="0004244D">
      <w:pPr>
        <w:rPr>
          <w:rFonts w:hint="eastAsia"/>
        </w:rPr>
      </w:pPr>
      <w:r w:rsidRPr="0004244D">
        <w:rPr>
          <w:rFonts w:hint="eastAsia"/>
        </w:rPr>
        <w:lastRenderedPageBreak/>
        <w:drawing>
          <wp:inline distT="0" distB="0" distL="0" distR="0" wp14:anchorId="6494B628" wp14:editId="04A8A724">
            <wp:extent cx="152400" cy="152400"/>
            <wp:effectExtent l="0" t="0" r="0" b="0"/>
            <wp:docPr id="140794653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ooltip="药监综械管〔2025〕28号附件2.docx" w:history="1">
        <w:r w:rsidRPr="0004244D">
          <w:rPr>
            <w:rStyle w:val="ae"/>
            <w:rFonts w:hint="eastAsia"/>
          </w:rPr>
          <w:t>药监综械管〔2025〕28号附件2.docx</w:t>
        </w:r>
      </w:hyperlink>
    </w:p>
    <w:p w14:paraId="35D01B32" w14:textId="68F50FFB" w:rsidR="0004244D" w:rsidRPr="0004244D" w:rsidRDefault="0004244D" w:rsidP="0004244D">
      <w:pPr>
        <w:rPr>
          <w:rFonts w:hint="eastAsia"/>
        </w:rPr>
      </w:pPr>
      <w:r w:rsidRPr="0004244D">
        <w:rPr>
          <w:rFonts w:hint="eastAsia"/>
        </w:rPr>
        <w:drawing>
          <wp:inline distT="0" distB="0" distL="0" distR="0" wp14:anchorId="381D0EF3" wp14:editId="53B885E2">
            <wp:extent cx="152400" cy="152400"/>
            <wp:effectExtent l="0" t="0" r="0" b="0"/>
            <wp:docPr id="143483813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tooltip="药监综械管〔2025〕28号附件3.docx" w:history="1">
        <w:r w:rsidRPr="0004244D">
          <w:rPr>
            <w:rStyle w:val="ae"/>
            <w:rFonts w:hint="eastAsia"/>
          </w:rPr>
          <w:t>药监综械管〔2025〕28号附件3.docx</w:t>
        </w:r>
      </w:hyperlink>
    </w:p>
    <w:p w14:paraId="4F281224" w14:textId="77777777" w:rsidR="00650F85" w:rsidRPr="0004244D" w:rsidRDefault="00650F85">
      <w:pPr>
        <w:rPr>
          <w:rFonts w:hint="eastAsia"/>
        </w:rPr>
      </w:pPr>
    </w:p>
    <w:sectPr w:rsidR="00650F85" w:rsidRPr="00042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44D"/>
    <w:rsid w:val="0004244D"/>
    <w:rsid w:val="001A4F1C"/>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E278"/>
  <w15:chartTrackingRefBased/>
  <w15:docId w15:val="{5EFDEEA3-CA1D-4D02-87EA-4F5889F1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042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44D"/>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04244D"/>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44D"/>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44D"/>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4244D"/>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44D"/>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04244D"/>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04244D"/>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04244D"/>
    <w:rPr>
      <w:rFonts w:cstheme="majorBidi"/>
      <w:noProof/>
      <w:color w:val="2F5496" w:themeColor="accent1" w:themeShade="BF"/>
      <w:sz w:val="28"/>
      <w:szCs w:val="28"/>
    </w:rPr>
  </w:style>
  <w:style w:type="character" w:customStyle="1" w:styleId="50">
    <w:name w:val="标题 5 字符"/>
    <w:basedOn w:val="a0"/>
    <w:link w:val="5"/>
    <w:uiPriority w:val="9"/>
    <w:semiHidden/>
    <w:rsid w:val="0004244D"/>
    <w:rPr>
      <w:rFonts w:cstheme="majorBidi"/>
      <w:noProof/>
      <w:color w:val="2F5496" w:themeColor="accent1" w:themeShade="BF"/>
      <w:sz w:val="24"/>
      <w:szCs w:val="24"/>
    </w:rPr>
  </w:style>
  <w:style w:type="character" w:customStyle="1" w:styleId="60">
    <w:name w:val="标题 6 字符"/>
    <w:basedOn w:val="a0"/>
    <w:link w:val="6"/>
    <w:uiPriority w:val="9"/>
    <w:semiHidden/>
    <w:rsid w:val="0004244D"/>
    <w:rPr>
      <w:rFonts w:cstheme="majorBidi"/>
      <w:b/>
      <w:bCs/>
      <w:noProof/>
      <w:color w:val="2F5496" w:themeColor="accent1" w:themeShade="BF"/>
    </w:rPr>
  </w:style>
  <w:style w:type="character" w:customStyle="1" w:styleId="70">
    <w:name w:val="标题 7 字符"/>
    <w:basedOn w:val="a0"/>
    <w:link w:val="7"/>
    <w:uiPriority w:val="9"/>
    <w:semiHidden/>
    <w:rsid w:val="0004244D"/>
    <w:rPr>
      <w:rFonts w:cstheme="majorBidi"/>
      <w:b/>
      <w:bCs/>
      <w:noProof/>
      <w:color w:val="595959" w:themeColor="text1" w:themeTint="A6"/>
    </w:rPr>
  </w:style>
  <w:style w:type="character" w:customStyle="1" w:styleId="80">
    <w:name w:val="标题 8 字符"/>
    <w:basedOn w:val="a0"/>
    <w:link w:val="8"/>
    <w:uiPriority w:val="9"/>
    <w:semiHidden/>
    <w:rsid w:val="0004244D"/>
    <w:rPr>
      <w:rFonts w:cstheme="majorBidi"/>
      <w:noProof/>
      <w:color w:val="595959" w:themeColor="text1" w:themeTint="A6"/>
    </w:rPr>
  </w:style>
  <w:style w:type="character" w:customStyle="1" w:styleId="90">
    <w:name w:val="标题 9 字符"/>
    <w:basedOn w:val="a0"/>
    <w:link w:val="9"/>
    <w:uiPriority w:val="9"/>
    <w:semiHidden/>
    <w:rsid w:val="0004244D"/>
    <w:rPr>
      <w:rFonts w:eastAsiaTheme="majorEastAsia" w:cstheme="majorBidi"/>
      <w:noProof/>
      <w:color w:val="595959" w:themeColor="text1" w:themeTint="A6"/>
    </w:rPr>
  </w:style>
  <w:style w:type="paragraph" w:styleId="a3">
    <w:name w:val="Title"/>
    <w:basedOn w:val="a"/>
    <w:next w:val="a"/>
    <w:link w:val="a4"/>
    <w:uiPriority w:val="10"/>
    <w:qFormat/>
    <w:rsid w:val="0004244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44D"/>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04244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44D"/>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04244D"/>
    <w:pPr>
      <w:spacing w:before="160" w:after="160"/>
      <w:jc w:val="center"/>
    </w:pPr>
    <w:rPr>
      <w:i/>
      <w:iCs/>
      <w:color w:val="404040" w:themeColor="text1" w:themeTint="BF"/>
    </w:rPr>
  </w:style>
  <w:style w:type="character" w:customStyle="1" w:styleId="a8">
    <w:name w:val="引用 字符"/>
    <w:basedOn w:val="a0"/>
    <w:link w:val="a7"/>
    <w:uiPriority w:val="29"/>
    <w:rsid w:val="0004244D"/>
    <w:rPr>
      <w:i/>
      <w:iCs/>
      <w:noProof/>
      <w:color w:val="404040" w:themeColor="text1" w:themeTint="BF"/>
    </w:rPr>
  </w:style>
  <w:style w:type="paragraph" w:styleId="a9">
    <w:name w:val="List Paragraph"/>
    <w:basedOn w:val="a"/>
    <w:uiPriority w:val="34"/>
    <w:qFormat/>
    <w:rsid w:val="0004244D"/>
    <w:pPr>
      <w:ind w:left="720"/>
      <w:contextualSpacing/>
    </w:pPr>
  </w:style>
  <w:style w:type="character" w:styleId="aa">
    <w:name w:val="Intense Emphasis"/>
    <w:basedOn w:val="a0"/>
    <w:uiPriority w:val="21"/>
    <w:qFormat/>
    <w:rsid w:val="0004244D"/>
    <w:rPr>
      <w:i/>
      <w:iCs/>
      <w:color w:val="2F5496" w:themeColor="accent1" w:themeShade="BF"/>
    </w:rPr>
  </w:style>
  <w:style w:type="paragraph" w:styleId="ab">
    <w:name w:val="Intense Quote"/>
    <w:basedOn w:val="a"/>
    <w:next w:val="a"/>
    <w:link w:val="ac"/>
    <w:uiPriority w:val="30"/>
    <w:qFormat/>
    <w:rsid w:val="00042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44D"/>
    <w:rPr>
      <w:i/>
      <w:iCs/>
      <w:noProof/>
      <w:color w:val="2F5496" w:themeColor="accent1" w:themeShade="BF"/>
    </w:rPr>
  </w:style>
  <w:style w:type="character" w:styleId="ad">
    <w:name w:val="Intense Reference"/>
    <w:basedOn w:val="a0"/>
    <w:uiPriority w:val="32"/>
    <w:qFormat/>
    <w:rsid w:val="0004244D"/>
    <w:rPr>
      <w:b/>
      <w:bCs/>
      <w:smallCaps/>
      <w:color w:val="2F5496" w:themeColor="accent1" w:themeShade="BF"/>
      <w:spacing w:val="5"/>
    </w:rPr>
  </w:style>
  <w:style w:type="character" w:styleId="ae">
    <w:name w:val="Hyperlink"/>
    <w:basedOn w:val="a0"/>
    <w:uiPriority w:val="99"/>
    <w:unhideWhenUsed/>
    <w:rsid w:val="0004244D"/>
    <w:rPr>
      <w:color w:val="0563C1" w:themeColor="hyperlink"/>
      <w:u w:val="single"/>
    </w:rPr>
  </w:style>
  <w:style w:type="character" w:styleId="af">
    <w:name w:val="Unresolved Mention"/>
    <w:basedOn w:val="a0"/>
    <w:uiPriority w:val="99"/>
    <w:semiHidden/>
    <w:unhideWhenUsed/>
    <w:rsid w:val="00042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5756">
      <w:bodyDiv w:val="1"/>
      <w:marLeft w:val="0"/>
      <w:marRight w:val="0"/>
      <w:marTop w:val="0"/>
      <w:marBottom w:val="0"/>
      <w:divBdr>
        <w:top w:val="none" w:sz="0" w:space="0" w:color="auto"/>
        <w:left w:val="none" w:sz="0" w:space="0" w:color="auto"/>
        <w:bottom w:val="none" w:sz="0" w:space="0" w:color="auto"/>
        <w:right w:val="none" w:sz="0" w:space="0" w:color="auto"/>
      </w:divBdr>
      <w:divsChild>
        <w:div w:id="1159423959">
          <w:marLeft w:val="0"/>
          <w:marRight w:val="0"/>
          <w:marTop w:val="0"/>
          <w:marBottom w:val="0"/>
          <w:divBdr>
            <w:top w:val="none" w:sz="0" w:space="0" w:color="auto"/>
            <w:left w:val="none" w:sz="0" w:space="0" w:color="auto"/>
            <w:bottom w:val="none" w:sz="0" w:space="0" w:color="auto"/>
            <w:right w:val="none" w:sz="0" w:space="0" w:color="auto"/>
          </w:divBdr>
        </w:div>
        <w:div w:id="1060977580">
          <w:marLeft w:val="0"/>
          <w:marRight w:val="0"/>
          <w:marTop w:val="0"/>
          <w:marBottom w:val="0"/>
          <w:divBdr>
            <w:top w:val="single" w:sz="6" w:space="6" w:color="989898"/>
            <w:left w:val="none" w:sz="0" w:space="0" w:color="auto"/>
            <w:bottom w:val="none" w:sz="0" w:space="0" w:color="auto"/>
            <w:right w:val="none" w:sz="0" w:space="0" w:color="auto"/>
          </w:divBdr>
        </w:div>
        <w:div w:id="1024014407">
          <w:marLeft w:val="0"/>
          <w:marRight w:val="0"/>
          <w:marTop w:val="0"/>
          <w:marBottom w:val="0"/>
          <w:divBdr>
            <w:top w:val="none" w:sz="0" w:space="0" w:color="auto"/>
            <w:left w:val="none" w:sz="0" w:space="0" w:color="auto"/>
            <w:bottom w:val="none" w:sz="0" w:space="0" w:color="auto"/>
            <w:right w:val="none" w:sz="0" w:space="0" w:color="auto"/>
          </w:divBdr>
        </w:div>
      </w:divsChild>
    </w:div>
    <w:div w:id="584608075">
      <w:bodyDiv w:val="1"/>
      <w:marLeft w:val="0"/>
      <w:marRight w:val="0"/>
      <w:marTop w:val="0"/>
      <w:marBottom w:val="0"/>
      <w:divBdr>
        <w:top w:val="none" w:sz="0" w:space="0" w:color="auto"/>
        <w:left w:val="none" w:sz="0" w:space="0" w:color="auto"/>
        <w:bottom w:val="none" w:sz="0" w:space="0" w:color="auto"/>
        <w:right w:val="none" w:sz="0" w:space="0" w:color="auto"/>
      </w:divBdr>
      <w:divsChild>
        <w:div w:id="1912694198">
          <w:marLeft w:val="0"/>
          <w:marRight w:val="0"/>
          <w:marTop w:val="0"/>
          <w:marBottom w:val="0"/>
          <w:divBdr>
            <w:top w:val="none" w:sz="0" w:space="0" w:color="auto"/>
            <w:left w:val="none" w:sz="0" w:space="0" w:color="auto"/>
            <w:bottom w:val="none" w:sz="0" w:space="0" w:color="auto"/>
            <w:right w:val="none" w:sz="0" w:space="0" w:color="auto"/>
          </w:divBdr>
        </w:div>
        <w:div w:id="344940604">
          <w:marLeft w:val="0"/>
          <w:marRight w:val="0"/>
          <w:marTop w:val="0"/>
          <w:marBottom w:val="0"/>
          <w:divBdr>
            <w:top w:val="single" w:sz="6" w:space="6" w:color="989898"/>
            <w:left w:val="none" w:sz="0" w:space="0" w:color="auto"/>
            <w:bottom w:val="none" w:sz="0" w:space="0" w:color="auto"/>
            <w:right w:val="none" w:sz="0" w:space="0" w:color="auto"/>
          </w:divBdr>
        </w:div>
        <w:div w:id="322972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pa.gov.cn/directory/web/nmpa/images/1742980724930031941.docx" TargetMode="External"/><Relationship Id="rId3" Type="http://schemas.openxmlformats.org/officeDocument/2006/relationships/webSettings" Target="webSettings.xml"/><Relationship Id="rId7" Type="http://schemas.openxmlformats.org/officeDocument/2006/relationships/hyperlink" Target="https://www.nmpa.gov.cn/directory/web/nmpa/images/1742980715623013079.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http://sns.qzone.qq.com/cgi-bin/qzshare/cgi_qzshare_onekey?url=https%3A%2F%2Fwww.nmpa.gov.cn%2Fxxgk%2Ffgwj%2Fgzwj%2Fgzwjylqx%2F20250326171742135.html&amp;title=%E5%9B%BD%E5%AE%B6%E8%8D%AF%E7%9B%91%E5%B1%80%E7%BB%BC%E5%90%88%E5%8F%B8%E5%85%B3%E4%BA%8E%E5%8D%B0%E5%8F%912025%E5%B9%B4%E5%9B%BD%E5%AE%B6%E5%8C%BB%E7%96%97%E5%99%A8%E6%A2%B0%E6%8A%BD%E6%A3%80%E4%BA%A7%E5%93%81%E6%A3%80%E9%AA%8C%E6%96%B9%E6%A1%88%E7%9A%84%E9%80%9A%E7%9F%A5&amp;api_key=" TargetMode="External"/><Relationship Id="rId10" Type="http://schemas.openxmlformats.org/officeDocument/2006/relationships/fontTable" Target="fontTable.xml"/><Relationship Id="rId4" Type="http://schemas.openxmlformats.org/officeDocument/2006/relationships/hyperlink" Target="http://v.t.sina.com.cn/share/share.php?title=%E5%9B%BD%E5%AE%B6%E8%8D%AF%E7%9B%91%E5%B1%80%E7%BB%BC%E5%90%88%E5%8F%B8%E5%85%B3%E4%BA%8E%E5%8D%B0%E5%8F%912025%E5%B9%B4%E5%9B%BD%E5%AE%B6%E5%8C%BB%E7%96%97%E5%99%A8%E6%A2%B0%E6%8A%BD%E6%A3%80%E4%BA%A7%E5%93%81%E6%A3%80%E9%AA%8C%E6%96%B9%E6%A1%88%E7%9A%84%E9%80%9A%E7%9F%A5&amp;url=https%3A%2F%2Fwww.nmpa.gov.cn%2Fxxgk%2Ffgwj%2Fgzwj%2Fgzwjylqx%2F20250326171742135.html" TargetMode="External"/><Relationship Id="rId9" Type="http://schemas.openxmlformats.org/officeDocument/2006/relationships/hyperlink" Target="https://www.nmpa.gov.cn/directory/web/nmpa/images/17429807321330183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2025-03-31T05:39:00Z</dcterms:created>
  <dcterms:modified xsi:type="dcterms:W3CDTF">2025-03-31T05:39:00Z</dcterms:modified>
</cp:coreProperties>
</file>