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F5B2" w14:textId="4BBA0142" w:rsidR="00650F85" w:rsidRPr="008B6A91" w:rsidRDefault="008B6A91" w:rsidP="008B6A91">
      <w:pPr>
        <w:jc w:val="center"/>
        <w:rPr>
          <w:rFonts w:ascii="方正小标宋简体" w:eastAsia="方正小标宋简体" w:hint="eastAsia"/>
          <w:b/>
          <w:bCs/>
          <w:sz w:val="32"/>
          <w:szCs w:val="32"/>
        </w:rPr>
      </w:pPr>
      <w:r w:rsidRPr="008B6A91">
        <w:rPr>
          <w:rFonts w:ascii="方正小标宋简体" w:eastAsia="方正小标宋简体" w:hint="eastAsia"/>
          <w:b/>
          <w:bCs/>
          <w:sz w:val="32"/>
          <w:szCs w:val="32"/>
        </w:rPr>
        <w:t>广东省药品监督管理局关于开展优化药品补充申请</w:t>
      </w:r>
      <w:r w:rsidRPr="008B6A91">
        <w:rPr>
          <w:rFonts w:ascii="方正小标宋简体" w:eastAsia="方正小标宋简体" w:hint="eastAsia"/>
          <w:b/>
          <w:bCs/>
          <w:sz w:val="32"/>
          <w:szCs w:val="32"/>
        </w:rPr>
        <w:br/>
        <w:t>审评审批程序改革试点工作的通告</w:t>
      </w:r>
    </w:p>
    <w:p w14:paraId="78293DD1" w14:textId="66206723" w:rsidR="008B6A91" w:rsidRPr="008B6A91" w:rsidRDefault="008B6A91" w:rsidP="0023004B">
      <w:pPr>
        <w:jc w:val="center"/>
      </w:pPr>
      <w:r w:rsidRPr="008B6A91">
        <w:rPr>
          <w:rFonts w:hint="eastAsia"/>
          <w:b/>
          <w:bCs/>
        </w:rPr>
        <w:t>广东省药品监督管理局</w:t>
      </w:r>
    </w:p>
    <w:p w14:paraId="6135665F" w14:textId="042184E8" w:rsidR="008B6A91" w:rsidRPr="008B6A91" w:rsidRDefault="008B6A91" w:rsidP="0023004B">
      <w:pPr>
        <w:jc w:val="center"/>
        <w:rPr>
          <w:rFonts w:hint="eastAsia"/>
        </w:rPr>
      </w:pPr>
      <w:r w:rsidRPr="008B6A91">
        <w:rPr>
          <w:rFonts w:hint="eastAsia"/>
          <w:b/>
          <w:bCs/>
        </w:rPr>
        <w:t>通   告</w:t>
      </w:r>
    </w:p>
    <w:p w14:paraId="58A536A2" w14:textId="14F47C52" w:rsidR="008B6A91" w:rsidRPr="008B6A91" w:rsidRDefault="008B6A91" w:rsidP="0023004B">
      <w:pPr>
        <w:jc w:val="center"/>
        <w:rPr>
          <w:rFonts w:hint="eastAsia"/>
        </w:rPr>
      </w:pPr>
      <w:r w:rsidRPr="008B6A91">
        <w:rPr>
          <w:rFonts w:hint="eastAsia"/>
        </w:rPr>
        <w:t>2025年 第5号</w:t>
      </w:r>
    </w:p>
    <w:p w14:paraId="552DC2D0" w14:textId="77777777" w:rsidR="008B6A91" w:rsidRPr="008B6A91" w:rsidRDefault="008B6A91" w:rsidP="008B6A91">
      <w:pPr>
        <w:rPr>
          <w:rFonts w:hint="eastAsia"/>
        </w:rPr>
      </w:pPr>
      <w:r w:rsidRPr="008B6A91">
        <w:rPr>
          <w:rFonts w:hint="eastAsia"/>
        </w:rPr>
        <w:t xml:space="preserve">　　为贯彻落实国务院全面深化药品医疗器械监管改革促进医药产业高质量发展及省政府关于进一步推动广东生物医药产业高质量发展行动方案的工作部署，持续深化药品审评审批制度改革，优化药品补充申请审评审批程序，经国家药品监督管理局同意，广东省获批开展优化药品补充申请审评审批程序改革试点工作。现将有关事项通告如下：</w:t>
      </w:r>
    </w:p>
    <w:p w14:paraId="579776DC" w14:textId="77777777" w:rsidR="008B6A91" w:rsidRPr="008B6A91" w:rsidRDefault="008B6A91" w:rsidP="008B6A91">
      <w:pPr>
        <w:rPr>
          <w:rFonts w:hint="eastAsia"/>
        </w:rPr>
      </w:pPr>
      <w:r w:rsidRPr="008B6A91">
        <w:rPr>
          <w:rFonts w:hint="eastAsia"/>
        </w:rPr>
        <w:t xml:space="preserve">　　</w:t>
      </w:r>
      <w:r w:rsidRPr="008B6A91">
        <w:rPr>
          <w:rFonts w:hint="eastAsia"/>
          <w:b/>
          <w:bCs/>
        </w:rPr>
        <w:t>一、工作目标</w:t>
      </w:r>
    </w:p>
    <w:p w14:paraId="68B7B2D5" w14:textId="77777777" w:rsidR="008B6A91" w:rsidRPr="008B6A91" w:rsidRDefault="008B6A91" w:rsidP="008B6A91">
      <w:pPr>
        <w:rPr>
          <w:rFonts w:hint="eastAsia"/>
        </w:rPr>
      </w:pPr>
      <w:r w:rsidRPr="008B6A91">
        <w:rPr>
          <w:rFonts w:hint="eastAsia"/>
        </w:rPr>
        <w:t xml:space="preserve">　　省药品监管局按照“提前介入、一企一策、全程指导、研审联动”的原则，为辖区内药品上市许可持有人和化学原料药登记人（以下简称持有人）药品重大变更补充申请申报提供前置指导、核查、检验和立卷服务等前置服务，推动需要核查检验的补充申请审评时限由200个工作日缩短为60个工作日。</w:t>
      </w:r>
    </w:p>
    <w:p w14:paraId="6A547835" w14:textId="77777777" w:rsidR="008B6A91" w:rsidRPr="008B6A91" w:rsidRDefault="008B6A91" w:rsidP="008B6A91">
      <w:pPr>
        <w:rPr>
          <w:rFonts w:hint="eastAsia"/>
        </w:rPr>
      </w:pPr>
      <w:r w:rsidRPr="008B6A91">
        <w:rPr>
          <w:rFonts w:hint="eastAsia"/>
        </w:rPr>
        <w:t xml:space="preserve">　　</w:t>
      </w:r>
      <w:r w:rsidRPr="008B6A91">
        <w:rPr>
          <w:rFonts w:hint="eastAsia"/>
          <w:b/>
          <w:bCs/>
        </w:rPr>
        <w:t>二、服务范围</w:t>
      </w:r>
    </w:p>
    <w:p w14:paraId="4594797F" w14:textId="77777777" w:rsidR="008B6A91" w:rsidRPr="008B6A91" w:rsidRDefault="008B6A91" w:rsidP="008B6A91">
      <w:pPr>
        <w:rPr>
          <w:rFonts w:hint="eastAsia"/>
        </w:rPr>
      </w:pPr>
      <w:r w:rsidRPr="008B6A91">
        <w:rPr>
          <w:rFonts w:hint="eastAsia"/>
        </w:rPr>
        <w:t xml:space="preserve">　　前置服务范围为化学药品（包括原料药）上市后药学重大变更。药学重大变更需开展临床研究的，变更原料药、辅料、药包材供应商且变更后产品登记状态为“I”的，以及一致性评价申请不属于试点前置服务范围。</w:t>
      </w:r>
    </w:p>
    <w:p w14:paraId="6C05DAB8" w14:textId="77777777" w:rsidR="008B6A91" w:rsidRPr="008B6A91" w:rsidRDefault="008B6A91" w:rsidP="008B6A91">
      <w:pPr>
        <w:rPr>
          <w:rFonts w:hint="eastAsia"/>
        </w:rPr>
      </w:pPr>
      <w:r w:rsidRPr="008B6A91">
        <w:rPr>
          <w:rFonts w:hint="eastAsia"/>
        </w:rPr>
        <w:t xml:space="preserve">　　</w:t>
      </w:r>
      <w:r w:rsidRPr="008B6A91">
        <w:rPr>
          <w:rFonts w:hint="eastAsia"/>
          <w:b/>
          <w:bCs/>
        </w:rPr>
        <w:t>三、前置服务机构及职责</w:t>
      </w:r>
    </w:p>
    <w:p w14:paraId="37A4C007" w14:textId="77777777" w:rsidR="008B6A91" w:rsidRPr="008B6A91" w:rsidRDefault="008B6A91" w:rsidP="008B6A91">
      <w:pPr>
        <w:rPr>
          <w:rFonts w:hint="eastAsia"/>
        </w:rPr>
      </w:pPr>
      <w:r w:rsidRPr="008B6A91">
        <w:rPr>
          <w:rFonts w:hint="eastAsia"/>
        </w:rPr>
        <w:t xml:space="preserve">　　广东省药品监督管理局审评认证中心（以下简称省局审评认证中心）承担试点前置服务，负责资料接收、前置指导、立卷、启动核查检验、开展前置核查等工作。</w:t>
      </w:r>
    </w:p>
    <w:p w14:paraId="466797B2" w14:textId="77777777" w:rsidR="008B6A91" w:rsidRPr="008B6A91" w:rsidRDefault="008B6A91" w:rsidP="008B6A91">
      <w:pPr>
        <w:rPr>
          <w:rFonts w:hint="eastAsia"/>
        </w:rPr>
      </w:pPr>
      <w:r w:rsidRPr="008B6A91">
        <w:rPr>
          <w:rFonts w:hint="eastAsia"/>
        </w:rPr>
        <w:t xml:space="preserve">　　广东省药品检验所（以下简称省药检所）承担前置检验工作。</w:t>
      </w:r>
    </w:p>
    <w:p w14:paraId="0F3368A0" w14:textId="77777777" w:rsidR="008B6A91" w:rsidRPr="008B6A91" w:rsidRDefault="008B6A91" w:rsidP="008B6A91">
      <w:pPr>
        <w:rPr>
          <w:rFonts w:hint="eastAsia"/>
        </w:rPr>
      </w:pPr>
      <w:r w:rsidRPr="008B6A91">
        <w:rPr>
          <w:rFonts w:hint="eastAsia"/>
        </w:rPr>
        <w:t xml:space="preserve">　　</w:t>
      </w:r>
      <w:r w:rsidRPr="008B6A91">
        <w:rPr>
          <w:rFonts w:hint="eastAsia"/>
          <w:b/>
          <w:bCs/>
        </w:rPr>
        <w:t>四、前置服务申请办理流程</w:t>
      </w:r>
    </w:p>
    <w:p w14:paraId="42417740" w14:textId="77777777" w:rsidR="008B6A91" w:rsidRPr="008B6A91" w:rsidRDefault="008B6A91" w:rsidP="008B6A91">
      <w:pPr>
        <w:rPr>
          <w:rFonts w:hint="eastAsia"/>
        </w:rPr>
      </w:pPr>
      <w:r w:rsidRPr="008B6A91">
        <w:rPr>
          <w:rFonts w:hint="eastAsia"/>
          <w:b/>
          <w:bCs/>
        </w:rPr>
        <w:t xml:space="preserve">　　（一）提出申请</w:t>
      </w:r>
    </w:p>
    <w:p w14:paraId="6488A3C5" w14:textId="77777777" w:rsidR="008B6A91" w:rsidRPr="008B6A91" w:rsidRDefault="008B6A91" w:rsidP="008B6A91">
      <w:pPr>
        <w:rPr>
          <w:rFonts w:hint="eastAsia"/>
        </w:rPr>
      </w:pPr>
      <w:r w:rsidRPr="008B6A91">
        <w:rPr>
          <w:rFonts w:hint="eastAsia"/>
        </w:rPr>
        <w:t xml:space="preserve">　　持有人完成上市后变更研究工作后，可在国家药监局药审中心“申请人之窗”前置服务模块提出前置服务申请，同时将光盘资料邮寄至省局审评认证中心。首次提交申报资料可暂不提交完整的稳定性研究资料，前置服务与稳定性研究可平行开展。</w:t>
      </w:r>
    </w:p>
    <w:p w14:paraId="68FFAE61" w14:textId="77777777" w:rsidR="008B6A91" w:rsidRPr="008B6A91" w:rsidRDefault="008B6A91" w:rsidP="008B6A91">
      <w:pPr>
        <w:rPr>
          <w:rFonts w:hint="eastAsia"/>
        </w:rPr>
      </w:pPr>
      <w:r w:rsidRPr="008B6A91">
        <w:rPr>
          <w:rFonts w:hint="eastAsia"/>
        </w:rPr>
        <w:t xml:space="preserve">　　申请事项如不属于试点前置服务范围的，省局审评认证中心不予接收并通过“申请人之窗”前置服务模块告知持有人。</w:t>
      </w:r>
    </w:p>
    <w:p w14:paraId="33D1BC12" w14:textId="77777777" w:rsidR="008B6A91" w:rsidRPr="008B6A91" w:rsidRDefault="008B6A91" w:rsidP="008B6A91">
      <w:pPr>
        <w:rPr>
          <w:rFonts w:hint="eastAsia"/>
        </w:rPr>
      </w:pPr>
      <w:r w:rsidRPr="008B6A91">
        <w:rPr>
          <w:rFonts w:hint="eastAsia"/>
        </w:rPr>
        <w:t xml:space="preserve">　　</w:t>
      </w:r>
      <w:r w:rsidRPr="008B6A91">
        <w:rPr>
          <w:rFonts w:hint="eastAsia"/>
          <w:b/>
          <w:bCs/>
        </w:rPr>
        <w:t>（二）资料审查与补正</w:t>
      </w:r>
    </w:p>
    <w:p w14:paraId="1028C98C" w14:textId="77777777" w:rsidR="008B6A91" w:rsidRPr="008B6A91" w:rsidRDefault="008B6A91" w:rsidP="008B6A91">
      <w:pPr>
        <w:rPr>
          <w:rFonts w:hint="eastAsia"/>
        </w:rPr>
      </w:pPr>
      <w:r w:rsidRPr="008B6A91">
        <w:rPr>
          <w:rFonts w:hint="eastAsia"/>
        </w:rPr>
        <w:t xml:space="preserve">　　省局审评认证中心参照药品上市后变更相关技术指导原则等要求开展资料审查。经审查认为存在一般性缺陷，需要补充资料的，省局审评认证中心通过“申请人之窗”前置服务模块一次性告知持有人需要补充资料的内容。持有人应在20个工作日内完成补充研究并重新提交全套完整的资料（除稳定性研究资料外）。</w:t>
      </w:r>
    </w:p>
    <w:p w14:paraId="07C8AC85" w14:textId="77777777" w:rsidR="008B6A91" w:rsidRPr="008B6A91" w:rsidRDefault="008B6A91" w:rsidP="008B6A91">
      <w:pPr>
        <w:rPr>
          <w:rFonts w:hint="eastAsia"/>
        </w:rPr>
      </w:pPr>
      <w:r w:rsidRPr="008B6A91">
        <w:rPr>
          <w:rFonts w:hint="eastAsia"/>
        </w:rPr>
        <w:t xml:space="preserve">　　</w:t>
      </w:r>
      <w:r w:rsidRPr="008B6A91">
        <w:rPr>
          <w:rFonts w:hint="eastAsia"/>
          <w:b/>
          <w:bCs/>
        </w:rPr>
        <w:t>（三）前置核查和检验</w:t>
      </w:r>
    </w:p>
    <w:p w14:paraId="388F27AF" w14:textId="77777777" w:rsidR="008B6A91" w:rsidRPr="008B6A91" w:rsidRDefault="008B6A91" w:rsidP="008B6A91">
      <w:pPr>
        <w:rPr>
          <w:rFonts w:hint="eastAsia"/>
        </w:rPr>
      </w:pPr>
      <w:r w:rsidRPr="008B6A91">
        <w:rPr>
          <w:rFonts w:hint="eastAsia"/>
        </w:rPr>
        <w:t xml:space="preserve">　　申报资料经初步审查不存在实质性缺陷或其他影响核查、检验开展缺陷的，省局审评认证中心按照《药品补充申请试点前置核查检验启动工作程序（试行）》决定是否启动前置核查和检验，并向持有人发出前置核查、检验通知书。持有人应在收到检验通知书后，2个工作日内与相关地级以上市药品监督管理部门联系抽样，5个工作日内送至省药检所检验。</w:t>
      </w:r>
    </w:p>
    <w:p w14:paraId="66F23558" w14:textId="77777777" w:rsidR="008B6A91" w:rsidRPr="008B6A91" w:rsidRDefault="008B6A91" w:rsidP="008B6A91">
      <w:pPr>
        <w:rPr>
          <w:rFonts w:hint="eastAsia"/>
        </w:rPr>
      </w:pPr>
      <w:r w:rsidRPr="008B6A91">
        <w:rPr>
          <w:rFonts w:hint="eastAsia"/>
        </w:rPr>
        <w:t xml:space="preserve">　　</w:t>
      </w:r>
      <w:r w:rsidRPr="008B6A91">
        <w:rPr>
          <w:rFonts w:hint="eastAsia"/>
          <w:b/>
          <w:bCs/>
        </w:rPr>
        <w:t>（四）综合立卷审查</w:t>
      </w:r>
    </w:p>
    <w:p w14:paraId="74F569D3" w14:textId="77777777" w:rsidR="008B6A91" w:rsidRPr="008B6A91" w:rsidRDefault="008B6A91" w:rsidP="008B6A91">
      <w:pPr>
        <w:rPr>
          <w:rFonts w:hint="eastAsia"/>
        </w:rPr>
      </w:pPr>
      <w:r w:rsidRPr="008B6A91">
        <w:rPr>
          <w:rFonts w:hint="eastAsia"/>
        </w:rPr>
        <w:t xml:space="preserve">　　持有人应在前置服务申请接收之日起55个工作日内完成变更指导原则要求的稳定性研究，并将包含稳定性研究资料的全套资料以光盘形式提交省局审评认证中心。省局审评认证</w:t>
      </w:r>
      <w:r w:rsidRPr="008B6A91">
        <w:rPr>
          <w:rFonts w:hint="eastAsia"/>
        </w:rPr>
        <w:lastRenderedPageBreak/>
        <w:t>中心形成综合立卷报告后，通过“申请人之窗”前置服务模块告知持有人立卷审查结论。</w:t>
      </w:r>
    </w:p>
    <w:p w14:paraId="05E9C356" w14:textId="77777777" w:rsidR="008B6A91" w:rsidRPr="008B6A91" w:rsidRDefault="008B6A91" w:rsidP="008B6A91">
      <w:pPr>
        <w:rPr>
          <w:rFonts w:hint="eastAsia"/>
        </w:rPr>
      </w:pPr>
      <w:r w:rsidRPr="008B6A91">
        <w:rPr>
          <w:rFonts w:hint="eastAsia"/>
        </w:rPr>
        <w:t xml:space="preserve">　　持有人通过“申请人之窗”前置服务模块收到立卷审查通过的结论后，可以向国家药监局药审中心正式提出补充申请，申报资料应与前置服务最终版资料（如SM3值等）保持一致。</w:t>
      </w:r>
    </w:p>
    <w:p w14:paraId="73F75B22" w14:textId="77777777" w:rsidR="008B6A91" w:rsidRPr="008B6A91" w:rsidRDefault="008B6A91" w:rsidP="008B6A91">
      <w:pPr>
        <w:rPr>
          <w:rFonts w:hint="eastAsia"/>
        </w:rPr>
      </w:pPr>
      <w:r w:rsidRPr="008B6A91">
        <w:rPr>
          <w:rFonts w:hint="eastAsia"/>
        </w:rPr>
        <w:t xml:space="preserve">　　</w:t>
      </w:r>
      <w:r w:rsidRPr="008B6A91">
        <w:rPr>
          <w:rFonts w:hint="eastAsia"/>
          <w:b/>
          <w:bCs/>
        </w:rPr>
        <w:t>（五）前置服务终止</w:t>
      </w:r>
    </w:p>
    <w:p w14:paraId="73701D96" w14:textId="77777777" w:rsidR="008B6A91" w:rsidRPr="008B6A91" w:rsidRDefault="008B6A91" w:rsidP="008B6A91">
      <w:pPr>
        <w:rPr>
          <w:rFonts w:hint="eastAsia"/>
        </w:rPr>
      </w:pPr>
      <w:r w:rsidRPr="008B6A91">
        <w:rPr>
          <w:rFonts w:hint="eastAsia"/>
        </w:rPr>
        <w:t xml:space="preserve">　　持有人根据稳定性研究情况等决定不再进行此次变更的，可以在“申请人之窗”前置服务模块主动终止前置服务申请。</w:t>
      </w:r>
    </w:p>
    <w:p w14:paraId="2F2BF59C" w14:textId="77777777" w:rsidR="008B6A91" w:rsidRPr="008B6A91" w:rsidRDefault="008B6A91" w:rsidP="008B6A91">
      <w:pPr>
        <w:rPr>
          <w:rFonts w:hint="eastAsia"/>
        </w:rPr>
      </w:pPr>
      <w:r w:rsidRPr="008B6A91">
        <w:rPr>
          <w:rFonts w:hint="eastAsia"/>
        </w:rPr>
        <w:t xml:space="preserve">　　经资料审查存在实质性缺陷或影响核査检验工作相关缺陷的、持有人未在规定时限内补充资料的，省局审评认证中心可在“申请人之窗”前置服务模块终止前置服务。持有人可以在完善研究后再次提出前置服务申请。</w:t>
      </w:r>
    </w:p>
    <w:p w14:paraId="447A2DB9" w14:textId="77777777" w:rsidR="008B6A91" w:rsidRPr="008B6A91" w:rsidRDefault="008B6A91" w:rsidP="008B6A91">
      <w:pPr>
        <w:rPr>
          <w:rFonts w:hint="eastAsia"/>
        </w:rPr>
      </w:pPr>
      <w:r w:rsidRPr="008B6A91">
        <w:rPr>
          <w:rFonts w:hint="eastAsia"/>
        </w:rPr>
        <w:t xml:space="preserve">　　</w:t>
      </w:r>
      <w:r w:rsidRPr="008B6A91">
        <w:rPr>
          <w:rFonts w:hint="eastAsia"/>
          <w:b/>
          <w:bCs/>
        </w:rPr>
        <w:t>（六）咨询通道</w:t>
      </w:r>
    </w:p>
    <w:p w14:paraId="1E38FA0F" w14:textId="77777777" w:rsidR="008B6A91" w:rsidRPr="008B6A91" w:rsidRDefault="008B6A91" w:rsidP="008B6A91">
      <w:pPr>
        <w:rPr>
          <w:rFonts w:hint="eastAsia"/>
        </w:rPr>
      </w:pPr>
      <w:r w:rsidRPr="008B6A91">
        <w:rPr>
          <w:rFonts w:hint="eastAsia"/>
        </w:rPr>
        <w:t xml:space="preserve">　　为顺利推进前置服务试点工作，持有人完成上市后变更研究工作后（除稳定性研究外），在补充申请前置服务申请前可通过省局审评认证中心“审评检查沟通咨询与预约通道”（网址：http://gdcec.gd.gov.cn/zxyyxt/app/web/#/260/index，或扫描下方二维码）进行咨询。</w:t>
      </w:r>
    </w:p>
    <w:p w14:paraId="0ADDE1DA" w14:textId="77777777" w:rsidR="008B6A91" w:rsidRPr="008B6A91" w:rsidRDefault="008B6A91" w:rsidP="008B6A91">
      <w:pPr>
        <w:rPr>
          <w:rFonts w:hint="eastAsia"/>
        </w:rPr>
      </w:pPr>
      <w:r w:rsidRPr="008B6A91">
        <w:rPr>
          <w:rFonts w:hint="eastAsia"/>
        </w:rPr>
        <w:t xml:space="preserve">　　</w:t>
      </w:r>
      <w:r w:rsidRPr="008B6A91">
        <w:rPr>
          <w:rFonts w:hint="eastAsia"/>
          <w:b/>
          <w:bCs/>
        </w:rPr>
        <w:t>五、前置服务地点及联系方式</w:t>
      </w:r>
    </w:p>
    <w:p w14:paraId="7D2E17D9" w14:textId="77777777" w:rsidR="008B6A91" w:rsidRPr="008B6A91" w:rsidRDefault="008B6A91" w:rsidP="008B6A91">
      <w:pPr>
        <w:rPr>
          <w:rFonts w:hint="eastAsia"/>
        </w:rPr>
      </w:pPr>
      <w:r w:rsidRPr="008B6A91">
        <w:rPr>
          <w:rFonts w:hint="eastAsia"/>
        </w:rPr>
        <w:t xml:space="preserve">　　1、资料接收、前置指导、前置核查、立卷服务机构（省局审评认证中心）：广州市越秀区东风东路753号之二药品六组，联系电话：020-37886285。</w:t>
      </w:r>
    </w:p>
    <w:p w14:paraId="6C55CDC0" w14:textId="77777777" w:rsidR="008B6A91" w:rsidRPr="008B6A91" w:rsidRDefault="008B6A91" w:rsidP="008B6A91">
      <w:pPr>
        <w:rPr>
          <w:rFonts w:hint="eastAsia"/>
        </w:rPr>
      </w:pPr>
      <w:r w:rsidRPr="008B6A91">
        <w:rPr>
          <w:rFonts w:hint="eastAsia"/>
        </w:rPr>
        <w:t xml:space="preserve">　　2、前置检验机构（省药检所）：广州市黄埔区神舟路766号，联系电话：020-32447915。</w:t>
      </w:r>
    </w:p>
    <w:p w14:paraId="5A0B1060" w14:textId="77777777" w:rsidR="008B6A91" w:rsidRPr="008B6A91" w:rsidRDefault="008B6A91">
      <w:pPr>
        <w:rPr>
          <w:rFonts w:hint="eastAsia"/>
        </w:rPr>
      </w:pPr>
    </w:p>
    <w:sectPr w:rsidR="008B6A91" w:rsidRPr="008B6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91"/>
    <w:rsid w:val="00093C87"/>
    <w:rsid w:val="0023004B"/>
    <w:rsid w:val="00650F85"/>
    <w:rsid w:val="008B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00D2"/>
  <w15:chartTrackingRefBased/>
  <w15:docId w15:val="{1EF3E5AB-4F37-498A-AC10-D46EF859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8B6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A9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B6A9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A9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A9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B6A9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A91"/>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8B6A91"/>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8B6A91"/>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8B6A91"/>
    <w:rPr>
      <w:rFonts w:cstheme="majorBidi"/>
      <w:noProof/>
      <w:color w:val="2F5496" w:themeColor="accent1" w:themeShade="BF"/>
      <w:sz w:val="28"/>
      <w:szCs w:val="28"/>
    </w:rPr>
  </w:style>
  <w:style w:type="character" w:customStyle="1" w:styleId="50">
    <w:name w:val="标题 5 字符"/>
    <w:basedOn w:val="a0"/>
    <w:link w:val="5"/>
    <w:uiPriority w:val="9"/>
    <w:semiHidden/>
    <w:rsid w:val="008B6A91"/>
    <w:rPr>
      <w:rFonts w:cstheme="majorBidi"/>
      <w:noProof/>
      <w:color w:val="2F5496" w:themeColor="accent1" w:themeShade="BF"/>
      <w:sz w:val="24"/>
      <w:szCs w:val="24"/>
    </w:rPr>
  </w:style>
  <w:style w:type="character" w:customStyle="1" w:styleId="60">
    <w:name w:val="标题 6 字符"/>
    <w:basedOn w:val="a0"/>
    <w:link w:val="6"/>
    <w:uiPriority w:val="9"/>
    <w:semiHidden/>
    <w:rsid w:val="008B6A91"/>
    <w:rPr>
      <w:rFonts w:cstheme="majorBidi"/>
      <w:b/>
      <w:bCs/>
      <w:noProof/>
      <w:color w:val="2F5496" w:themeColor="accent1" w:themeShade="BF"/>
    </w:rPr>
  </w:style>
  <w:style w:type="character" w:customStyle="1" w:styleId="70">
    <w:name w:val="标题 7 字符"/>
    <w:basedOn w:val="a0"/>
    <w:link w:val="7"/>
    <w:uiPriority w:val="9"/>
    <w:semiHidden/>
    <w:rsid w:val="008B6A91"/>
    <w:rPr>
      <w:rFonts w:cstheme="majorBidi"/>
      <w:b/>
      <w:bCs/>
      <w:noProof/>
      <w:color w:val="595959" w:themeColor="text1" w:themeTint="A6"/>
    </w:rPr>
  </w:style>
  <w:style w:type="character" w:customStyle="1" w:styleId="80">
    <w:name w:val="标题 8 字符"/>
    <w:basedOn w:val="a0"/>
    <w:link w:val="8"/>
    <w:uiPriority w:val="9"/>
    <w:semiHidden/>
    <w:rsid w:val="008B6A91"/>
    <w:rPr>
      <w:rFonts w:cstheme="majorBidi"/>
      <w:noProof/>
      <w:color w:val="595959" w:themeColor="text1" w:themeTint="A6"/>
    </w:rPr>
  </w:style>
  <w:style w:type="character" w:customStyle="1" w:styleId="90">
    <w:name w:val="标题 9 字符"/>
    <w:basedOn w:val="a0"/>
    <w:link w:val="9"/>
    <w:uiPriority w:val="9"/>
    <w:semiHidden/>
    <w:rsid w:val="008B6A91"/>
    <w:rPr>
      <w:rFonts w:eastAsiaTheme="majorEastAsia" w:cstheme="majorBidi"/>
      <w:noProof/>
      <w:color w:val="595959" w:themeColor="text1" w:themeTint="A6"/>
    </w:rPr>
  </w:style>
  <w:style w:type="paragraph" w:styleId="a3">
    <w:name w:val="Title"/>
    <w:basedOn w:val="a"/>
    <w:next w:val="a"/>
    <w:link w:val="a4"/>
    <w:uiPriority w:val="10"/>
    <w:qFormat/>
    <w:rsid w:val="008B6A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A91"/>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8B6A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A91"/>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8B6A91"/>
    <w:pPr>
      <w:spacing w:before="160" w:after="160"/>
      <w:jc w:val="center"/>
    </w:pPr>
    <w:rPr>
      <w:i/>
      <w:iCs/>
      <w:color w:val="404040" w:themeColor="text1" w:themeTint="BF"/>
    </w:rPr>
  </w:style>
  <w:style w:type="character" w:customStyle="1" w:styleId="a8">
    <w:name w:val="引用 字符"/>
    <w:basedOn w:val="a0"/>
    <w:link w:val="a7"/>
    <w:uiPriority w:val="29"/>
    <w:rsid w:val="008B6A91"/>
    <w:rPr>
      <w:i/>
      <w:iCs/>
      <w:noProof/>
      <w:color w:val="404040" w:themeColor="text1" w:themeTint="BF"/>
    </w:rPr>
  </w:style>
  <w:style w:type="paragraph" w:styleId="a9">
    <w:name w:val="List Paragraph"/>
    <w:basedOn w:val="a"/>
    <w:uiPriority w:val="34"/>
    <w:qFormat/>
    <w:rsid w:val="008B6A91"/>
    <w:pPr>
      <w:ind w:left="720"/>
      <w:contextualSpacing/>
    </w:pPr>
  </w:style>
  <w:style w:type="character" w:styleId="aa">
    <w:name w:val="Intense Emphasis"/>
    <w:basedOn w:val="a0"/>
    <w:uiPriority w:val="21"/>
    <w:qFormat/>
    <w:rsid w:val="008B6A91"/>
    <w:rPr>
      <w:i/>
      <w:iCs/>
      <w:color w:val="2F5496" w:themeColor="accent1" w:themeShade="BF"/>
    </w:rPr>
  </w:style>
  <w:style w:type="paragraph" w:styleId="ab">
    <w:name w:val="Intense Quote"/>
    <w:basedOn w:val="a"/>
    <w:next w:val="a"/>
    <w:link w:val="ac"/>
    <w:uiPriority w:val="30"/>
    <w:qFormat/>
    <w:rsid w:val="008B6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A91"/>
    <w:rPr>
      <w:i/>
      <w:iCs/>
      <w:noProof/>
      <w:color w:val="2F5496" w:themeColor="accent1" w:themeShade="BF"/>
    </w:rPr>
  </w:style>
  <w:style w:type="character" w:styleId="ad">
    <w:name w:val="Intense Reference"/>
    <w:basedOn w:val="a0"/>
    <w:uiPriority w:val="32"/>
    <w:qFormat/>
    <w:rsid w:val="008B6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748925">
      <w:bodyDiv w:val="1"/>
      <w:marLeft w:val="0"/>
      <w:marRight w:val="0"/>
      <w:marTop w:val="0"/>
      <w:marBottom w:val="0"/>
      <w:divBdr>
        <w:top w:val="none" w:sz="0" w:space="0" w:color="auto"/>
        <w:left w:val="none" w:sz="0" w:space="0" w:color="auto"/>
        <w:bottom w:val="none" w:sz="0" w:space="0" w:color="auto"/>
        <w:right w:val="none" w:sz="0" w:space="0" w:color="auto"/>
      </w:divBdr>
    </w:div>
    <w:div w:id="17398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2025-02-10T03:52:00Z</dcterms:created>
  <dcterms:modified xsi:type="dcterms:W3CDTF">2025-02-10T03:53:00Z</dcterms:modified>
</cp:coreProperties>
</file>