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6742F" w14:textId="77777777" w:rsidR="00322E89" w:rsidRPr="00322E89" w:rsidRDefault="00322E89" w:rsidP="00322E89">
      <w:pPr>
        <w:jc w:val="center"/>
        <w:rPr>
          <w:rFonts w:ascii="方正小标宋简体" w:eastAsia="方正小标宋简体" w:hint="eastAsia"/>
          <w:sz w:val="30"/>
          <w:szCs w:val="30"/>
        </w:rPr>
      </w:pPr>
      <w:r w:rsidRPr="00322E89">
        <w:rPr>
          <w:rFonts w:ascii="方正小标宋简体" w:eastAsia="方正小标宋简体" w:hint="eastAsia"/>
          <w:sz w:val="30"/>
          <w:szCs w:val="30"/>
        </w:rPr>
        <w:t>国家卫生健康委等15个部门关于联合印发《应对老年期痴呆国家行动计划（2024-2030年）》的通知</w:t>
      </w:r>
    </w:p>
    <w:p w14:paraId="5D641A4C" w14:textId="2B8E1FAD" w:rsidR="00322E89" w:rsidRPr="00322E89" w:rsidRDefault="00322E89" w:rsidP="00322E89">
      <w:pPr>
        <w:rPr>
          <w:rFonts w:hint="eastAsia"/>
        </w:rPr>
      </w:pPr>
      <w:r w:rsidRPr="00322E89">
        <w:rPr>
          <w:rFonts w:hint="eastAsia"/>
        </w:rPr>
        <w:drawing>
          <wp:inline distT="0" distB="0" distL="0" distR="0" wp14:anchorId="0B98A975" wp14:editId="21393AB6">
            <wp:extent cx="228600" cy="228600"/>
            <wp:effectExtent l="0" t="0" r="0" b="0"/>
            <wp:docPr id="2070630279" name="图片 20">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322E89">
        <w:rPr>
          <w:rFonts w:hint="eastAsia"/>
        </w:rPr>
        <w:drawing>
          <wp:inline distT="0" distB="0" distL="0" distR="0" wp14:anchorId="7AA9B369" wp14:editId="2644950F">
            <wp:extent cx="228600" cy="228600"/>
            <wp:effectExtent l="0" t="0" r="0" b="0"/>
            <wp:docPr id="1825208320" name="图片 19">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322E89">
        <w:rPr>
          <w:rFonts w:hint="eastAsia"/>
        </w:rPr>
        <w:drawing>
          <wp:inline distT="0" distB="0" distL="0" distR="0" wp14:anchorId="5B54AF0A" wp14:editId="129B60AB">
            <wp:extent cx="222250" cy="228600"/>
            <wp:effectExtent l="0" t="0" r="6350" b="0"/>
            <wp:docPr id="1061629360" name="图片 18">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250" cy="228600"/>
                    </a:xfrm>
                    <a:prstGeom prst="rect">
                      <a:avLst/>
                    </a:prstGeom>
                    <a:noFill/>
                    <a:ln>
                      <a:noFill/>
                    </a:ln>
                  </pic:spPr>
                </pic:pic>
              </a:graphicData>
            </a:graphic>
          </wp:inline>
        </w:drawing>
      </w:r>
    </w:p>
    <w:p w14:paraId="2C5A453C" w14:textId="77777777" w:rsidR="00322E89" w:rsidRPr="00322E89" w:rsidRDefault="00322E89" w:rsidP="00322E89">
      <w:pPr>
        <w:rPr>
          <w:rFonts w:hint="eastAsia"/>
        </w:rPr>
      </w:pPr>
      <w:r w:rsidRPr="00322E89">
        <w:rPr>
          <w:rFonts w:hint="eastAsia"/>
        </w:rPr>
        <w:t>国卫老龄发〔2024〕42号</w:t>
      </w:r>
    </w:p>
    <w:p w14:paraId="1E1EE737" w14:textId="77777777" w:rsidR="00322E89" w:rsidRPr="00322E89" w:rsidRDefault="00322E89" w:rsidP="00322E89">
      <w:pPr>
        <w:rPr>
          <w:rFonts w:hint="eastAsia"/>
        </w:rPr>
      </w:pPr>
      <w:r w:rsidRPr="00322E89">
        <w:rPr>
          <w:rFonts w:hint="eastAsia"/>
        </w:rPr>
        <w:t> </w:t>
      </w:r>
    </w:p>
    <w:p w14:paraId="2298E959" w14:textId="77777777" w:rsidR="00322E89" w:rsidRPr="00322E89" w:rsidRDefault="00322E89" w:rsidP="00322E89">
      <w:pPr>
        <w:rPr>
          <w:rFonts w:hint="eastAsia"/>
        </w:rPr>
      </w:pPr>
      <w:r w:rsidRPr="00322E89">
        <w:rPr>
          <w:rFonts w:hint="eastAsia"/>
        </w:rPr>
        <w:t>各省、自治区、直辖市及新疆生产建设兵团卫生健康委、发展改革委、教育厅（教委、局）、科技厅（委、局）、公安厅（局）、民政厅（局）、财政厅（局）、人力资源社会保障厅（局）、交通运输厅（局）、广播电视局、医保局、中医药局、疾控局、药监局、残联：</w:t>
      </w:r>
    </w:p>
    <w:p w14:paraId="5F3CAFEE" w14:textId="77777777" w:rsidR="00322E89" w:rsidRPr="00322E89" w:rsidRDefault="00322E89" w:rsidP="00322E89">
      <w:pPr>
        <w:rPr>
          <w:rFonts w:hint="eastAsia"/>
        </w:rPr>
      </w:pPr>
      <w:r w:rsidRPr="00322E89">
        <w:rPr>
          <w:rFonts w:hint="eastAsia"/>
        </w:rPr>
        <w:t>为全面推动老年期痴呆应对工作，根据《国务院关于实施健康中国行动的意见》，我们制定了《应对老年期痴呆国家行动计划（2024-2030年）》。现印发给你们，请认真贯彻执行。</w:t>
      </w:r>
    </w:p>
    <w:p w14:paraId="36362AEF" w14:textId="77777777" w:rsidR="00322E89" w:rsidRPr="00322E89" w:rsidRDefault="00322E89" w:rsidP="00322E89">
      <w:pPr>
        <w:rPr>
          <w:rFonts w:hint="eastAsia"/>
        </w:rPr>
      </w:pPr>
      <w:r w:rsidRPr="00322E89">
        <w:rPr>
          <w:rFonts w:hint="eastAsia"/>
        </w:rPr>
        <w:t> </w:t>
      </w:r>
    </w:p>
    <w:p w14:paraId="5719D4C3" w14:textId="77777777" w:rsidR="00322E89" w:rsidRPr="00322E89" w:rsidRDefault="00322E89" w:rsidP="00322E89">
      <w:pPr>
        <w:rPr>
          <w:rFonts w:hint="eastAsia"/>
        </w:rPr>
      </w:pPr>
      <w:r w:rsidRPr="00322E89">
        <w:rPr>
          <w:rFonts w:hint="eastAsia"/>
        </w:rPr>
        <w:t> </w:t>
      </w:r>
    </w:p>
    <w:p w14:paraId="150410B0" w14:textId="77777777" w:rsidR="00322E89" w:rsidRPr="00322E89" w:rsidRDefault="00322E89" w:rsidP="00322E89">
      <w:pPr>
        <w:rPr>
          <w:rFonts w:hint="eastAsia"/>
        </w:rPr>
      </w:pPr>
      <w:r w:rsidRPr="00322E89">
        <w:rPr>
          <w:rFonts w:hint="eastAsia"/>
        </w:rPr>
        <w:t>国家卫生健康委</w:t>
      </w:r>
      <w:r w:rsidRPr="00322E89">
        <w:rPr>
          <w:rFonts w:hint="eastAsia"/>
        </w:rPr>
        <w:t> </w:t>
      </w:r>
      <w:r w:rsidRPr="00322E89">
        <w:rPr>
          <w:rFonts w:hint="eastAsia"/>
        </w:rPr>
        <w:t> </w:t>
      </w:r>
      <w:r w:rsidRPr="00322E89">
        <w:rPr>
          <w:rFonts w:hint="eastAsia"/>
        </w:rPr>
        <w:t> </w:t>
      </w:r>
      <w:r w:rsidRPr="00322E89">
        <w:rPr>
          <w:rFonts w:hint="eastAsia"/>
        </w:rPr>
        <w:t> </w:t>
      </w:r>
      <w:r w:rsidRPr="00322E89">
        <w:rPr>
          <w:rFonts w:hint="eastAsia"/>
        </w:rPr>
        <w:t> </w:t>
      </w:r>
      <w:r w:rsidRPr="00322E89">
        <w:rPr>
          <w:rFonts w:hint="eastAsia"/>
        </w:rPr>
        <w:t> </w:t>
      </w:r>
      <w:r w:rsidRPr="00322E89">
        <w:rPr>
          <w:rFonts w:hint="eastAsia"/>
        </w:rPr>
        <w:t> </w:t>
      </w:r>
      <w:r w:rsidRPr="00322E89">
        <w:rPr>
          <w:rFonts w:hint="eastAsia"/>
        </w:rPr>
        <w:t>国家发展改革委</w:t>
      </w:r>
    </w:p>
    <w:p w14:paraId="5800ED3A" w14:textId="77777777" w:rsidR="00322E89" w:rsidRPr="00322E89" w:rsidRDefault="00322E89" w:rsidP="00322E89">
      <w:pPr>
        <w:rPr>
          <w:rFonts w:hint="eastAsia"/>
        </w:rPr>
      </w:pPr>
      <w:r w:rsidRPr="00322E89">
        <w:rPr>
          <w:rFonts w:hint="eastAsia"/>
        </w:rPr>
        <w:t>教育部</w:t>
      </w:r>
      <w:r w:rsidRPr="00322E89">
        <w:rPr>
          <w:rFonts w:hint="eastAsia"/>
        </w:rPr>
        <w:t> </w:t>
      </w:r>
      <w:r w:rsidRPr="00322E89">
        <w:rPr>
          <w:rFonts w:hint="eastAsia"/>
        </w:rPr>
        <w:t> </w:t>
      </w:r>
      <w:r w:rsidRPr="00322E89">
        <w:rPr>
          <w:rFonts w:hint="eastAsia"/>
        </w:rPr>
        <w:t> </w:t>
      </w:r>
      <w:r w:rsidRPr="00322E89">
        <w:rPr>
          <w:rFonts w:hint="eastAsia"/>
        </w:rPr>
        <w:t> </w:t>
      </w:r>
      <w:r w:rsidRPr="00322E89">
        <w:rPr>
          <w:rFonts w:hint="eastAsia"/>
        </w:rPr>
        <w:t> </w:t>
      </w:r>
      <w:r w:rsidRPr="00322E89">
        <w:rPr>
          <w:rFonts w:hint="eastAsia"/>
        </w:rPr>
        <w:t> </w:t>
      </w:r>
      <w:r w:rsidRPr="00322E89">
        <w:rPr>
          <w:rFonts w:hint="eastAsia"/>
        </w:rPr>
        <w:t> </w:t>
      </w:r>
      <w:r w:rsidRPr="00322E89">
        <w:rPr>
          <w:rFonts w:hint="eastAsia"/>
        </w:rPr>
        <w:t> </w:t>
      </w:r>
      <w:r w:rsidRPr="00322E89">
        <w:rPr>
          <w:rFonts w:hint="eastAsia"/>
        </w:rPr>
        <w:t> </w:t>
      </w:r>
      <w:r w:rsidRPr="00322E89">
        <w:rPr>
          <w:rFonts w:hint="eastAsia"/>
        </w:rPr>
        <w:t> </w:t>
      </w:r>
      <w:r w:rsidRPr="00322E89">
        <w:rPr>
          <w:rFonts w:hint="eastAsia"/>
        </w:rPr>
        <w:t> </w:t>
      </w:r>
      <w:r w:rsidRPr="00322E89">
        <w:rPr>
          <w:rFonts w:hint="eastAsia"/>
        </w:rPr>
        <w:t> </w:t>
      </w:r>
      <w:r w:rsidRPr="00322E89">
        <w:rPr>
          <w:rFonts w:hint="eastAsia"/>
        </w:rPr>
        <w:t> </w:t>
      </w:r>
      <w:r w:rsidRPr="00322E89">
        <w:rPr>
          <w:rFonts w:hint="eastAsia"/>
        </w:rPr>
        <w:t> </w:t>
      </w:r>
      <w:r w:rsidRPr="00322E89">
        <w:rPr>
          <w:rFonts w:hint="eastAsia"/>
        </w:rPr>
        <w:t> </w:t>
      </w:r>
      <w:r w:rsidRPr="00322E89">
        <w:rPr>
          <w:rFonts w:hint="eastAsia"/>
        </w:rPr>
        <w:t> </w:t>
      </w:r>
      <w:r w:rsidRPr="00322E89">
        <w:rPr>
          <w:rFonts w:hint="eastAsia"/>
        </w:rPr>
        <w:t> </w:t>
      </w:r>
      <w:r w:rsidRPr="00322E89">
        <w:rPr>
          <w:rFonts w:hint="eastAsia"/>
        </w:rPr>
        <w:t> </w:t>
      </w:r>
      <w:r w:rsidRPr="00322E89">
        <w:rPr>
          <w:rFonts w:hint="eastAsia"/>
        </w:rPr>
        <w:t> </w:t>
      </w:r>
      <w:r w:rsidRPr="00322E89">
        <w:rPr>
          <w:rFonts w:hint="eastAsia"/>
        </w:rPr>
        <w:t> </w:t>
      </w:r>
      <w:r w:rsidRPr="00322E89">
        <w:rPr>
          <w:rFonts w:hint="eastAsia"/>
        </w:rPr>
        <w:t> </w:t>
      </w:r>
      <w:r w:rsidRPr="00322E89">
        <w:rPr>
          <w:rFonts w:hint="eastAsia"/>
        </w:rPr>
        <w:t> </w:t>
      </w:r>
      <w:r w:rsidRPr="00322E89">
        <w:rPr>
          <w:rFonts w:hint="eastAsia"/>
        </w:rPr>
        <w:t> </w:t>
      </w:r>
      <w:r w:rsidRPr="00322E89">
        <w:rPr>
          <w:rFonts w:hint="eastAsia"/>
        </w:rPr>
        <w:t>科技部</w:t>
      </w:r>
    </w:p>
    <w:p w14:paraId="3699BA3D" w14:textId="77777777" w:rsidR="00322E89" w:rsidRPr="00322E89" w:rsidRDefault="00322E89" w:rsidP="00322E89">
      <w:pPr>
        <w:rPr>
          <w:rFonts w:hint="eastAsia"/>
        </w:rPr>
      </w:pPr>
      <w:r w:rsidRPr="00322E89">
        <w:rPr>
          <w:rFonts w:hint="eastAsia"/>
        </w:rPr>
        <w:t> </w:t>
      </w:r>
      <w:r w:rsidRPr="00322E89">
        <w:rPr>
          <w:rFonts w:hint="eastAsia"/>
        </w:rPr>
        <w:t> </w:t>
      </w:r>
      <w:r w:rsidRPr="00322E89">
        <w:rPr>
          <w:rFonts w:hint="eastAsia"/>
        </w:rPr>
        <w:t>公安部</w:t>
      </w:r>
      <w:r w:rsidRPr="00322E89">
        <w:rPr>
          <w:rFonts w:hint="eastAsia"/>
        </w:rPr>
        <w:t> </w:t>
      </w:r>
      <w:r w:rsidRPr="00322E89">
        <w:rPr>
          <w:rFonts w:hint="eastAsia"/>
        </w:rPr>
        <w:t> </w:t>
      </w:r>
      <w:r w:rsidRPr="00322E89">
        <w:rPr>
          <w:rFonts w:hint="eastAsia"/>
        </w:rPr>
        <w:t> </w:t>
      </w:r>
      <w:r w:rsidRPr="00322E89">
        <w:rPr>
          <w:rFonts w:hint="eastAsia"/>
        </w:rPr>
        <w:t> </w:t>
      </w:r>
      <w:r w:rsidRPr="00322E89">
        <w:rPr>
          <w:rFonts w:hint="eastAsia"/>
        </w:rPr>
        <w:t> </w:t>
      </w:r>
      <w:r w:rsidRPr="00322E89">
        <w:rPr>
          <w:rFonts w:hint="eastAsia"/>
        </w:rPr>
        <w:t> </w:t>
      </w:r>
      <w:r w:rsidRPr="00322E89">
        <w:rPr>
          <w:rFonts w:hint="eastAsia"/>
        </w:rPr>
        <w:t> </w:t>
      </w:r>
      <w:r w:rsidRPr="00322E89">
        <w:rPr>
          <w:rFonts w:hint="eastAsia"/>
        </w:rPr>
        <w:t> </w:t>
      </w:r>
      <w:r w:rsidRPr="00322E89">
        <w:rPr>
          <w:rFonts w:hint="eastAsia"/>
        </w:rPr>
        <w:t> </w:t>
      </w:r>
      <w:r w:rsidRPr="00322E89">
        <w:rPr>
          <w:rFonts w:hint="eastAsia"/>
        </w:rPr>
        <w:t> </w:t>
      </w:r>
      <w:r w:rsidRPr="00322E89">
        <w:rPr>
          <w:rFonts w:hint="eastAsia"/>
        </w:rPr>
        <w:t> </w:t>
      </w:r>
      <w:r w:rsidRPr="00322E89">
        <w:rPr>
          <w:rFonts w:hint="eastAsia"/>
        </w:rPr>
        <w:t> </w:t>
      </w:r>
      <w:r w:rsidRPr="00322E89">
        <w:rPr>
          <w:rFonts w:hint="eastAsia"/>
        </w:rPr>
        <w:t> </w:t>
      </w:r>
      <w:r w:rsidRPr="00322E89">
        <w:rPr>
          <w:rFonts w:hint="eastAsia"/>
        </w:rPr>
        <w:t> </w:t>
      </w:r>
      <w:r w:rsidRPr="00322E89">
        <w:rPr>
          <w:rFonts w:hint="eastAsia"/>
        </w:rPr>
        <w:t> </w:t>
      </w:r>
      <w:r w:rsidRPr="00322E89">
        <w:rPr>
          <w:rFonts w:hint="eastAsia"/>
        </w:rPr>
        <w:t> </w:t>
      </w:r>
      <w:r w:rsidRPr="00322E89">
        <w:rPr>
          <w:rFonts w:hint="eastAsia"/>
        </w:rPr>
        <w:t> </w:t>
      </w:r>
      <w:r w:rsidRPr="00322E89">
        <w:rPr>
          <w:rFonts w:hint="eastAsia"/>
        </w:rPr>
        <w:t> </w:t>
      </w:r>
      <w:r w:rsidRPr="00322E89">
        <w:rPr>
          <w:rFonts w:hint="eastAsia"/>
        </w:rPr>
        <w:t> </w:t>
      </w:r>
      <w:r w:rsidRPr="00322E89">
        <w:rPr>
          <w:rFonts w:hint="eastAsia"/>
        </w:rPr>
        <w:t> </w:t>
      </w:r>
      <w:r w:rsidRPr="00322E89">
        <w:rPr>
          <w:rFonts w:hint="eastAsia"/>
        </w:rPr>
        <w:t> </w:t>
      </w:r>
      <w:r w:rsidRPr="00322E89">
        <w:rPr>
          <w:rFonts w:hint="eastAsia"/>
        </w:rPr>
        <w:t> </w:t>
      </w:r>
      <w:r w:rsidRPr="00322E89">
        <w:rPr>
          <w:rFonts w:hint="eastAsia"/>
        </w:rPr>
        <w:t> </w:t>
      </w:r>
      <w:r w:rsidRPr="00322E89">
        <w:rPr>
          <w:rFonts w:hint="eastAsia"/>
        </w:rPr>
        <w:t>民政部</w:t>
      </w:r>
    </w:p>
    <w:p w14:paraId="428A8CC7" w14:textId="77777777" w:rsidR="00322E89" w:rsidRPr="00322E89" w:rsidRDefault="00322E89" w:rsidP="00322E89">
      <w:pPr>
        <w:rPr>
          <w:rFonts w:hint="eastAsia"/>
        </w:rPr>
      </w:pPr>
      <w:r w:rsidRPr="00322E89">
        <w:rPr>
          <w:rFonts w:hint="eastAsia"/>
        </w:rPr>
        <w:t>财政部</w:t>
      </w:r>
      <w:r w:rsidRPr="00322E89">
        <w:rPr>
          <w:rFonts w:hint="eastAsia"/>
        </w:rPr>
        <w:t> </w:t>
      </w:r>
      <w:r w:rsidRPr="00322E89">
        <w:rPr>
          <w:rFonts w:hint="eastAsia"/>
        </w:rPr>
        <w:t> </w:t>
      </w:r>
      <w:r w:rsidRPr="00322E89">
        <w:rPr>
          <w:rFonts w:hint="eastAsia"/>
        </w:rPr>
        <w:t> </w:t>
      </w:r>
      <w:r w:rsidRPr="00322E89">
        <w:rPr>
          <w:rFonts w:hint="eastAsia"/>
        </w:rPr>
        <w:t> </w:t>
      </w:r>
      <w:r w:rsidRPr="00322E89">
        <w:rPr>
          <w:rFonts w:hint="eastAsia"/>
        </w:rPr>
        <w:t> </w:t>
      </w:r>
      <w:r w:rsidRPr="00322E89">
        <w:rPr>
          <w:rFonts w:hint="eastAsia"/>
        </w:rPr>
        <w:t> </w:t>
      </w:r>
      <w:r w:rsidRPr="00322E89">
        <w:rPr>
          <w:rFonts w:hint="eastAsia"/>
        </w:rPr>
        <w:t> </w:t>
      </w:r>
      <w:r w:rsidRPr="00322E89">
        <w:rPr>
          <w:rFonts w:hint="eastAsia"/>
        </w:rPr>
        <w:t> </w:t>
      </w:r>
      <w:r w:rsidRPr="00322E89">
        <w:rPr>
          <w:rFonts w:hint="eastAsia"/>
        </w:rPr>
        <w:t> </w:t>
      </w:r>
      <w:r w:rsidRPr="00322E89">
        <w:rPr>
          <w:rFonts w:hint="eastAsia"/>
        </w:rPr>
        <w:t> </w:t>
      </w:r>
      <w:r w:rsidRPr="00322E89">
        <w:rPr>
          <w:rFonts w:hint="eastAsia"/>
        </w:rPr>
        <w:t> </w:t>
      </w:r>
      <w:r w:rsidRPr="00322E89">
        <w:rPr>
          <w:rFonts w:hint="eastAsia"/>
        </w:rPr>
        <w:t>人力资源社会保障部</w:t>
      </w:r>
    </w:p>
    <w:p w14:paraId="5847873B" w14:textId="77777777" w:rsidR="00322E89" w:rsidRPr="00322E89" w:rsidRDefault="00322E89" w:rsidP="00322E89">
      <w:pPr>
        <w:rPr>
          <w:rFonts w:hint="eastAsia"/>
        </w:rPr>
      </w:pPr>
      <w:r w:rsidRPr="00322E89">
        <w:rPr>
          <w:rFonts w:hint="eastAsia"/>
        </w:rPr>
        <w:t> </w:t>
      </w:r>
      <w:r w:rsidRPr="00322E89">
        <w:rPr>
          <w:rFonts w:hint="eastAsia"/>
        </w:rPr>
        <w:t>交通运输部</w:t>
      </w:r>
      <w:r w:rsidRPr="00322E89">
        <w:rPr>
          <w:rFonts w:hint="eastAsia"/>
        </w:rPr>
        <w:t> </w:t>
      </w:r>
      <w:r w:rsidRPr="00322E89">
        <w:rPr>
          <w:rFonts w:hint="eastAsia"/>
        </w:rPr>
        <w:t> </w:t>
      </w:r>
      <w:r w:rsidRPr="00322E89">
        <w:rPr>
          <w:rFonts w:hint="eastAsia"/>
        </w:rPr>
        <w:t> </w:t>
      </w:r>
      <w:r w:rsidRPr="00322E89">
        <w:rPr>
          <w:rFonts w:hint="eastAsia"/>
        </w:rPr>
        <w:t> </w:t>
      </w:r>
      <w:r w:rsidRPr="00322E89">
        <w:rPr>
          <w:rFonts w:hint="eastAsia"/>
        </w:rPr>
        <w:t> </w:t>
      </w:r>
      <w:r w:rsidRPr="00322E89">
        <w:rPr>
          <w:rFonts w:hint="eastAsia"/>
        </w:rPr>
        <w:t> </w:t>
      </w:r>
      <w:r w:rsidRPr="00322E89">
        <w:rPr>
          <w:rFonts w:hint="eastAsia"/>
        </w:rPr>
        <w:t> </w:t>
      </w:r>
      <w:r w:rsidRPr="00322E89">
        <w:rPr>
          <w:rFonts w:hint="eastAsia"/>
        </w:rPr>
        <w:t> </w:t>
      </w:r>
      <w:r w:rsidRPr="00322E89">
        <w:rPr>
          <w:rFonts w:hint="eastAsia"/>
        </w:rPr>
        <w:t> </w:t>
      </w:r>
      <w:r w:rsidRPr="00322E89">
        <w:rPr>
          <w:rFonts w:hint="eastAsia"/>
        </w:rPr>
        <w:t> </w:t>
      </w:r>
      <w:r w:rsidRPr="00322E89">
        <w:rPr>
          <w:rFonts w:hint="eastAsia"/>
        </w:rPr>
        <w:t> </w:t>
      </w:r>
      <w:r w:rsidRPr="00322E89">
        <w:rPr>
          <w:rFonts w:hint="eastAsia"/>
        </w:rPr>
        <w:t> </w:t>
      </w:r>
      <w:r w:rsidRPr="00322E89">
        <w:rPr>
          <w:rFonts w:hint="eastAsia"/>
        </w:rPr>
        <w:t> </w:t>
      </w:r>
      <w:r w:rsidRPr="00322E89">
        <w:rPr>
          <w:rFonts w:hint="eastAsia"/>
        </w:rPr>
        <w:t> </w:t>
      </w:r>
      <w:r w:rsidRPr="00322E89">
        <w:rPr>
          <w:rFonts w:hint="eastAsia"/>
        </w:rPr>
        <w:t> </w:t>
      </w:r>
      <w:r w:rsidRPr="00322E89">
        <w:rPr>
          <w:rFonts w:hint="eastAsia"/>
        </w:rPr>
        <w:t> </w:t>
      </w:r>
      <w:r w:rsidRPr="00322E89">
        <w:rPr>
          <w:rFonts w:hint="eastAsia"/>
        </w:rPr>
        <w:t> </w:t>
      </w:r>
      <w:r w:rsidRPr="00322E89">
        <w:rPr>
          <w:rFonts w:hint="eastAsia"/>
        </w:rPr>
        <w:t>广电总局</w:t>
      </w:r>
    </w:p>
    <w:p w14:paraId="4B1BD393" w14:textId="77777777" w:rsidR="00322E89" w:rsidRPr="00322E89" w:rsidRDefault="00322E89" w:rsidP="00322E89">
      <w:pPr>
        <w:rPr>
          <w:rFonts w:hint="eastAsia"/>
        </w:rPr>
      </w:pPr>
      <w:r w:rsidRPr="00322E89">
        <w:rPr>
          <w:rFonts w:hint="eastAsia"/>
        </w:rPr>
        <w:t> </w:t>
      </w:r>
      <w:r w:rsidRPr="00322E89">
        <w:rPr>
          <w:rFonts w:hint="eastAsia"/>
        </w:rPr>
        <w:t>国家医保局</w:t>
      </w:r>
      <w:r w:rsidRPr="00322E89">
        <w:rPr>
          <w:rFonts w:hint="eastAsia"/>
        </w:rPr>
        <w:t> </w:t>
      </w:r>
      <w:r w:rsidRPr="00322E89">
        <w:rPr>
          <w:rFonts w:hint="eastAsia"/>
        </w:rPr>
        <w:t> </w:t>
      </w:r>
      <w:r w:rsidRPr="00322E89">
        <w:rPr>
          <w:rFonts w:hint="eastAsia"/>
        </w:rPr>
        <w:t> </w:t>
      </w:r>
      <w:r w:rsidRPr="00322E89">
        <w:rPr>
          <w:rFonts w:hint="eastAsia"/>
        </w:rPr>
        <w:t> </w:t>
      </w:r>
      <w:r w:rsidRPr="00322E89">
        <w:rPr>
          <w:rFonts w:hint="eastAsia"/>
        </w:rPr>
        <w:t> </w:t>
      </w:r>
      <w:r w:rsidRPr="00322E89">
        <w:rPr>
          <w:rFonts w:hint="eastAsia"/>
        </w:rPr>
        <w:t> </w:t>
      </w:r>
      <w:r w:rsidRPr="00322E89">
        <w:rPr>
          <w:rFonts w:hint="eastAsia"/>
        </w:rPr>
        <w:t> </w:t>
      </w:r>
      <w:r w:rsidRPr="00322E89">
        <w:rPr>
          <w:rFonts w:hint="eastAsia"/>
        </w:rPr>
        <w:t> </w:t>
      </w:r>
      <w:r w:rsidRPr="00322E89">
        <w:rPr>
          <w:rFonts w:hint="eastAsia"/>
        </w:rPr>
        <w:t> </w:t>
      </w:r>
      <w:r w:rsidRPr="00322E89">
        <w:rPr>
          <w:rFonts w:hint="eastAsia"/>
        </w:rPr>
        <w:t> </w:t>
      </w:r>
      <w:r w:rsidRPr="00322E89">
        <w:rPr>
          <w:rFonts w:hint="eastAsia"/>
        </w:rPr>
        <w:t> </w:t>
      </w:r>
      <w:r w:rsidRPr="00322E89">
        <w:rPr>
          <w:rFonts w:hint="eastAsia"/>
        </w:rPr>
        <w:t> </w:t>
      </w:r>
      <w:r w:rsidRPr="00322E89">
        <w:rPr>
          <w:rFonts w:hint="eastAsia"/>
        </w:rPr>
        <w:t> </w:t>
      </w:r>
      <w:r w:rsidRPr="00322E89">
        <w:rPr>
          <w:rFonts w:hint="eastAsia"/>
        </w:rPr>
        <w:t>国家中医药局</w:t>
      </w:r>
    </w:p>
    <w:p w14:paraId="059092E3" w14:textId="77777777" w:rsidR="00322E89" w:rsidRPr="00322E89" w:rsidRDefault="00322E89" w:rsidP="00322E89">
      <w:pPr>
        <w:rPr>
          <w:rFonts w:hint="eastAsia"/>
        </w:rPr>
      </w:pPr>
      <w:r w:rsidRPr="00322E89">
        <w:rPr>
          <w:rFonts w:hint="eastAsia"/>
        </w:rPr>
        <w:t>国家疾控局</w:t>
      </w:r>
      <w:r w:rsidRPr="00322E89">
        <w:rPr>
          <w:rFonts w:hint="eastAsia"/>
        </w:rPr>
        <w:t> </w:t>
      </w:r>
      <w:r w:rsidRPr="00322E89">
        <w:rPr>
          <w:rFonts w:hint="eastAsia"/>
        </w:rPr>
        <w:t> </w:t>
      </w:r>
      <w:r w:rsidRPr="00322E89">
        <w:rPr>
          <w:rFonts w:hint="eastAsia"/>
        </w:rPr>
        <w:t> </w:t>
      </w:r>
      <w:r w:rsidRPr="00322E89">
        <w:rPr>
          <w:rFonts w:hint="eastAsia"/>
        </w:rPr>
        <w:t> </w:t>
      </w:r>
      <w:r w:rsidRPr="00322E89">
        <w:rPr>
          <w:rFonts w:hint="eastAsia"/>
        </w:rPr>
        <w:t> </w:t>
      </w:r>
      <w:r w:rsidRPr="00322E89">
        <w:rPr>
          <w:rFonts w:hint="eastAsia"/>
        </w:rPr>
        <w:t> </w:t>
      </w:r>
      <w:r w:rsidRPr="00322E89">
        <w:rPr>
          <w:rFonts w:hint="eastAsia"/>
        </w:rPr>
        <w:t> </w:t>
      </w:r>
      <w:r w:rsidRPr="00322E89">
        <w:rPr>
          <w:rFonts w:hint="eastAsia"/>
        </w:rPr>
        <w:t> </w:t>
      </w:r>
      <w:r w:rsidRPr="00322E89">
        <w:rPr>
          <w:rFonts w:hint="eastAsia"/>
        </w:rPr>
        <w:t> </w:t>
      </w:r>
      <w:r w:rsidRPr="00322E89">
        <w:rPr>
          <w:rFonts w:hint="eastAsia"/>
        </w:rPr>
        <w:t> </w:t>
      </w:r>
      <w:r w:rsidRPr="00322E89">
        <w:rPr>
          <w:rFonts w:hint="eastAsia"/>
        </w:rPr>
        <w:t> </w:t>
      </w:r>
      <w:r w:rsidRPr="00322E89">
        <w:rPr>
          <w:rFonts w:hint="eastAsia"/>
        </w:rPr>
        <w:t> </w:t>
      </w:r>
      <w:r w:rsidRPr="00322E89">
        <w:rPr>
          <w:rFonts w:hint="eastAsia"/>
        </w:rPr>
        <w:t> </w:t>
      </w:r>
      <w:r w:rsidRPr="00322E89">
        <w:rPr>
          <w:rFonts w:hint="eastAsia"/>
        </w:rPr>
        <w:t> </w:t>
      </w:r>
      <w:r w:rsidRPr="00322E89">
        <w:rPr>
          <w:rFonts w:hint="eastAsia"/>
        </w:rPr>
        <w:t> </w:t>
      </w:r>
      <w:r w:rsidRPr="00322E89">
        <w:rPr>
          <w:rFonts w:hint="eastAsia"/>
        </w:rPr>
        <w:t>国家药监局</w:t>
      </w:r>
    </w:p>
    <w:p w14:paraId="165FB1D5" w14:textId="77777777" w:rsidR="00322E89" w:rsidRPr="00322E89" w:rsidRDefault="00322E89" w:rsidP="00322E89">
      <w:pPr>
        <w:rPr>
          <w:rFonts w:hint="eastAsia"/>
        </w:rPr>
      </w:pPr>
      <w:r w:rsidRPr="00322E89">
        <w:rPr>
          <w:rFonts w:hint="eastAsia"/>
        </w:rPr>
        <w:t>中国残疾人联合会</w:t>
      </w:r>
    </w:p>
    <w:p w14:paraId="70360806" w14:textId="77777777" w:rsidR="00322E89" w:rsidRPr="00322E89" w:rsidRDefault="00322E89" w:rsidP="00322E89">
      <w:pPr>
        <w:rPr>
          <w:rFonts w:hint="eastAsia"/>
        </w:rPr>
      </w:pPr>
      <w:r w:rsidRPr="00322E89">
        <w:rPr>
          <w:rFonts w:hint="eastAsia"/>
        </w:rPr>
        <w:t>2024年12月31日</w:t>
      </w:r>
    </w:p>
    <w:p w14:paraId="63DED19A" w14:textId="77777777" w:rsidR="00322E89" w:rsidRPr="00322E89" w:rsidRDefault="00322E89" w:rsidP="00322E89">
      <w:pPr>
        <w:rPr>
          <w:rFonts w:hint="eastAsia"/>
        </w:rPr>
      </w:pPr>
      <w:r w:rsidRPr="00322E89">
        <w:rPr>
          <w:rFonts w:hint="eastAsia"/>
        </w:rPr>
        <w:t>（信息公开形式：主动公开）</w:t>
      </w:r>
      <w:r w:rsidRPr="00322E89">
        <w:rPr>
          <w:rFonts w:hint="eastAsia"/>
        </w:rPr>
        <w:br/>
      </w:r>
      <w:r w:rsidRPr="00322E89">
        <w:rPr>
          <w:rFonts w:hint="eastAsia"/>
        </w:rPr>
        <w:br/>
      </w:r>
    </w:p>
    <w:p w14:paraId="761BF1DC" w14:textId="77777777" w:rsidR="00322E89" w:rsidRPr="00322E89" w:rsidRDefault="00322E89" w:rsidP="00322E89">
      <w:pPr>
        <w:rPr>
          <w:rFonts w:hint="eastAsia"/>
        </w:rPr>
      </w:pPr>
      <w:r w:rsidRPr="00322E89">
        <w:rPr>
          <w:rFonts w:hint="eastAsia"/>
        </w:rPr>
        <w:t>应对老年期痴呆国家行动计划</w:t>
      </w:r>
    </w:p>
    <w:p w14:paraId="291A7ADC" w14:textId="77777777" w:rsidR="00322E89" w:rsidRPr="00322E89" w:rsidRDefault="00322E89" w:rsidP="00322E89">
      <w:pPr>
        <w:rPr>
          <w:rFonts w:hint="eastAsia"/>
        </w:rPr>
      </w:pPr>
      <w:r w:rsidRPr="00322E89">
        <w:rPr>
          <w:rFonts w:hint="eastAsia"/>
        </w:rPr>
        <w:t>（2024-2030年）</w:t>
      </w:r>
    </w:p>
    <w:p w14:paraId="77E82029" w14:textId="77777777" w:rsidR="00322E89" w:rsidRPr="00322E89" w:rsidRDefault="00322E89" w:rsidP="00322E89">
      <w:pPr>
        <w:rPr>
          <w:rFonts w:hint="eastAsia"/>
        </w:rPr>
      </w:pPr>
      <w:r w:rsidRPr="00322E89">
        <w:rPr>
          <w:rFonts w:hint="eastAsia"/>
          <w:b/>
          <w:bCs/>
        </w:rPr>
        <w:t> </w:t>
      </w:r>
    </w:p>
    <w:p w14:paraId="1F26C7B9" w14:textId="77777777" w:rsidR="00322E89" w:rsidRPr="00322E89" w:rsidRDefault="00322E89" w:rsidP="00322E89">
      <w:pPr>
        <w:rPr>
          <w:rFonts w:hint="eastAsia"/>
        </w:rPr>
      </w:pPr>
      <w:r w:rsidRPr="00322E89">
        <w:rPr>
          <w:rFonts w:hint="eastAsia"/>
        </w:rPr>
        <w:t>随着人口老龄化进程的加快和人均预期寿命的延长，我国老年期痴呆患者数量持续增长，给个人、家庭和社会带来严峻挑战，已成为影响人民健康的重大社会问题。为积极应对人口老龄化，做好老年期痴呆防控工作，根据《国务院关于实施健康中国行动的意见》要求以及世界卫生组织公共卫生领域应对痴呆全球行动计划倡议，制定本行动计划。</w:t>
      </w:r>
    </w:p>
    <w:p w14:paraId="2DC8BD61" w14:textId="77777777" w:rsidR="00322E89" w:rsidRPr="00322E89" w:rsidRDefault="00322E89" w:rsidP="00322E89">
      <w:pPr>
        <w:rPr>
          <w:rFonts w:hint="eastAsia"/>
        </w:rPr>
      </w:pPr>
      <w:r w:rsidRPr="00322E89">
        <w:rPr>
          <w:rFonts w:hint="eastAsia"/>
        </w:rPr>
        <w:t>一、总体要求</w:t>
      </w:r>
    </w:p>
    <w:p w14:paraId="0915FC6C" w14:textId="77777777" w:rsidR="00322E89" w:rsidRPr="00322E89" w:rsidRDefault="00322E89" w:rsidP="00322E89">
      <w:pPr>
        <w:rPr>
          <w:rFonts w:hint="eastAsia"/>
        </w:rPr>
      </w:pPr>
      <w:r w:rsidRPr="00322E89">
        <w:rPr>
          <w:rFonts w:hint="eastAsia"/>
        </w:rPr>
        <w:t>以习近平新时代中国特色社会主义思想为指导，实施健康优先发展战略和积极应对人口老龄化国家战略，坚持预防为主、防治结合，坚持强化照护、扩大供给，坚持政府主导、社会参与，建立健全老年期痴呆防控体系，减少或延缓老年期痴呆的发生发展，提高老年人生命质量，促进实现健康老龄化。</w:t>
      </w:r>
    </w:p>
    <w:p w14:paraId="2B8167F8" w14:textId="77777777" w:rsidR="00322E89" w:rsidRPr="00322E89" w:rsidRDefault="00322E89" w:rsidP="00322E89">
      <w:pPr>
        <w:rPr>
          <w:rFonts w:hint="eastAsia"/>
        </w:rPr>
      </w:pPr>
      <w:r w:rsidRPr="00322E89">
        <w:rPr>
          <w:rFonts w:hint="eastAsia"/>
        </w:rPr>
        <w:t>到2030年，痴呆防控科学知识基本普及，老年人认知功能筛查全面开展，老年期痴呆风险人群得到早期干预，规范化诊疗机制更加完善，照护服务能力稳步提升，老年期痴呆预防、筛查、诊疗、康复、照护综合连续防控体系基本建立，老年期痴呆患病率增速得到有效控制，老年期痴呆友好的社会环境建设取得积极成效。</w:t>
      </w:r>
    </w:p>
    <w:p w14:paraId="1E7E596E" w14:textId="77777777" w:rsidR="00322E89" w:rsidRPr="00322E89" w:rsidRDefault="00322E89" w:rsidP="00322E89">
      <w:pPr>
        <w:rPr>
          <w:rFonts w:hint="eastAsia"/>
        </w:rPr>
      </w:pPr>
      <w:r w:rsidRPr="00322E89">
        <w:rPr>
          <w:rFonts w:hint="eastAsia"/>
        </w:rPr>
        <w:t>主要目标</w:t>
      </w:r>
    </w:p>
    <w:p w14:paraId="70399D9C" w14:textId="170659D5" w:rsidR="00322E89" w:rsidRPr="00322E89" w:rsidRDefault="00322E89" w:rsidP="00322E89">
      <w:pPr>
        <w:rPr>
          <w:rFonts w:hint="eastAsia"/>
        </w:rPr>
      </w:pPr>
      <w:r w:rsidRPr="00322E89">
        <w:rPr>
          <w:rFonts w:hint="eastAsia"/>
        </w:rPr>
        <w:lastRenderedPageBreak/>
        <w:drawing>
          <wp:inline distT="0" distB="0" distL="0" distR="0" wp14:anchorId="5ACC020D" wp14:editId="2C2EB5EF">
            <wp:extent cx="5274310" cy="6626225"/>
            <wp:effectExtent l="0" t="0" r="2540" b="3175"/>
            <wp:docPr id="1479209523"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6626225"/>
                    </a:xfrm>
                    <a:prstGeom prst="rect">
                      <a:avLst/>
                    </a:prstGeom>
                    <a:noFill/>
                    <a:ln>
                      <a:noFill/>
                    </a:ln>
                  </pic:spPr>
                </pic:pic>
              </a:graphicData>
            </a:graphic>
          </wp:inline>
        </w:drawing>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
      </w:tblGrid>
      <w:tr w:rsidR="00322E89" w:rsidRPr="00322E89" w14:paraId="25BF343A" w14:textId="77777777" w:rsidTr="00322E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D6062E7" w14:textId="77777777" w:rsidR="00322E89" w:rsidRPr="00322E89" w:rsidRDefault="00322E89" w:rsidP="00322E89">
            <w:pPr>
              <w:rPr>
                <w:rFonts w:hint="eastAsia"/>
              </w:rPr>
            </w:pPr>
          </w:p>
        </w:tc>
      </w:tr>
    </w:tbl>
    <w:p w14:paraId="334355BC" w14:textId="77777777" w:rsidR="00322E89" w:rsidRPr="00322E89" w:rsidRDefault="00322E89" w:rsidP="00322E89">
      <w:r w:rsidRPr="00322E89">
        <w:rPr>
          <w:rFonts w:hint="eastAsia"/>
        </w:rPr>
        <w:t>二、主要任务</w:t>
      </w:r>
    </w:p>
    <w:p w14:paraId="393CDDC5" w14:textId="77777777" w:rsidR="00322E89" w:rsidRPr="00322E89" w:rsidRDefault="00322E89" w:rsidP="00322E89">
      <w:pPr>
        <w:rPr>
          <w:rFonts w:hint="eastAsia"/>
        </w:rPr>
      </w:pPr>
      <w:r w:rsidRPr="00322E89">
        <w:rPr>
          <w:rFonts w:hint="eastAsia"/>
          <w:b/>
          <w:bCs/>
        </w:rPr>
        <w:t>（一）宣传老年期痴呆防控科普知识。</w:t>
      </w:r>
      <w:r w:rsidRPr="00322E89">
        <w:rPr>
          <w:rFonts w:hint="eastAsia"/>
        </w:rPr>
        <w:t>将老年期痴呆防控作为基本公共卫生服务健康教育和人口老龄化国情教育重点内容。利用世界阿尔茨海默病月、敬老月、老年健康宣传周等主题活动，借助多种传播方式，在全社会进行老年期痴呆的科普宣传教育，普及老年期痴呆防控知识，强化预防保健意识，树立尊重关爱痴呆老年人的社会风尚。通过发放宣传材料、发布科普视频、举办专家讲座、在老年大学开设相关课程等多种形式，帮助老年人树立危险因素控制、定期筛查、及时就诊等疾病防控理念，养成有利于脑健康的生活方式。（国家卫生健康委、教育部、民政部、广电总局、国家中医药局、国家疾控局、中国残联按职责分工负责）</w:t>
      </w:r>
    </w:p>
    <w:p w14:paraId="6F14AB8D" w14:textId="6E1064EB" w:rsidR="00322E89" w:rsidRPr="00322E89" w:rsidRDefault="00322E89" w:rsidP="00322E89">
      <w:pPr>
        <w:rPr>
          <w:rFonts w:hint="eastAsia"/>
        </w:rPr>
      </w:pPr>
      <w:r w:rsidRPr="00322E89">
        <w:rPr>
          <w:rFonts w:hint="eastAsia"/>
        </w:rPr>
        <w:lastRenderedPageBreak/>
        <w:drawing>
          <wp:inline distT="0" distB="0" distL="0" distR="0" wp14:anchorId="5F778A62" wp14:editId="3DD34BD1">
            <wp:extent cx="5060950" cy="2298700"/>
            <wp:effectExtent l="0" t="0" r="6350" b="6350"/>
            <wp:docPr id="67915435"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60950" cy="2298700"/>
                    </a:xfrm>
                    <a:prstGeom prst="rect">
                      <a:avLst/>
                    </a:prstGeom>
                    <a:noFill/>
                    <a:ln>
                      <a:noFill/>
                    </a:ln>
                  </pic:spPr>
                </pic:pic>
              </a:graphicData>
            </a:graphic>
          </wp:inline>
        </w:drawing>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
      </w:tblGrid>
      <w:tr w:rsidR="00322E89" w:rsidRPr="00322E89" w14:paraId="1286EDF1" w14:textId="77777777" w:rsidTr="00322E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7062A06" w14:textId="77777777" w:rsidR="00322E89" w:rsidRPr="00322E89" w:rsidRDefault="00322E89" w:rsidP="00322E89">
            <w:pPr>
              <w:rPr>
                <w:rFonts w:hint="eastAsia"/>
              </w:rPr>
            </w:pPr>
          </w:p>
        </w:tc>
      </w:tr>
    </w:tbl>
    <w:p w14:paraId="5D62EE25" w14:textId="77777777" w:rsidR="00322E89" w:rsidRPr="00322E89" w:rsidRDefault="00322E89" w:rsidP="00322E89">
      <w:r w:rsidRPr="00322E89">
        <w:rPr>
          <w:rFonts w:hint="eastAsia"/>
          <w:b/>
          <w:bCs/>
        </w:rPr>
        <w:t>（二）开展老年期痴呆筛查与早期干预。</w:t>
      </w:r>
      <w:r w:rsidRPr="00322E89">
        <w:rPr>
          <w:rFonts w:hint="eastAsia"/>
        </w:rPr>
        <w:t>建立基层医疗卫生机构、医院、疾控机构等共同参与认知功能筛查与早期干预的工作机制、服务网络和队伍。开展认知功能筛查和早期干预专项培训。结合基本公共卫生老年人健康管理服务，推进65岁及以上老年人认知功能初筛。鼓励具备服务能力的医疗卫生机构对初筛阳性人群进行进一步认知功能评估，并开展健康教育、健康生活方式指导、危险因素管理和认知训练等早期干预工作；对认知功能评估结果仍为异常的老年人，指导转诊至有条件的医疗卫生机构就诊。支持社会工作者、志愿者参与老年人认知功能筛查和早期干预服务。（国家卫生健康委、民政部、财政部、国家中医药局、国家疾控局按职责分工负责）</w:t>
      </w:r>
    </w:p>
    <w:p w14:paraId="3756F91A" w14:textId="2A1194C0" w:rsidR="00322E89" w:rsidRPr="00322E89" w:rsidRDefault="00322E89" w:rsidP="00322E89">
      <w:pPr>
        <w:rPr>
          <w:rFonts w:hint="eastAsia"/>
        </w:rPr>
      </w:pPr>
      <w:r w:rsidRPr="00322E89">
        <w:rPr>
          <w:rFonts w:hint="eastAsia"/>
        </w:rPr>
        <w:lastRenderedPageBreak/>
        <w:drawing>
          <wp:inline distT="0" distB="0" distL="0" distR="0" wp14:anchorId="0804AD64" wp14:editId="630DF8E0">
            <wp:extent cx="5010150" cy="5848350"/>
            <wp:effectExtent l="0" t="0" r="0" b="0"/>
            <wp:docPr id="174163599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10150" cy="5848350"/>
                    </a:xfrm>
                    <a:prstGeom prst="rect">
                      <a:avLst/>
                    </a:prstGeom>
                    <a:noFill/>
                    <a:ln>
                      <a:noFill/>
                    </a:ln>
                  </pic:spPr>
                </pic:pic>
              </a:graphicData>
            </a:graphic>
          </wp:inline>
        </w:drawing>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
      </w:tblGrid>
      <w:tr w:rsidR="00322E89" w:rsidRPr="00322E89" w14:paraId="5D1B80E3" w14:textId="77777777" w:rsidTr="00322E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E9F375C" w14:textId="77777777" w:rsidR="00322E89" w:rsidRPr="00322E89" w:rsidRDefault="00322E89" w:rsidP="00322E89">
            <w:pPr>
              <w:rPr>
                <w:rFonts w:hint="eastAsia"/>
              </w:rPr>
            </w:pPr>
          </w:p>
        </w:tc>
      </w:tr>
    </w:tbl>
    <w:p w14:paraId="032C74B6" w14:textId="77777777" w:rsidR="00322E89" w:rsidRPr="00322E89" w:rsidRDefault="00322E89" w:rsidP="00322E89">
      <w:r w:rsidRPr="00322E89">
        <w:rPr>
          <w:rFonts w:hint="eastAsia"/>
          <w:b/>
          <w:bCs/>
        </w:rPr>
        <w:t>（三）提升老年期痴呆规范化诊疗服务水平。</w:t>
      </w:r>
      <w:r w:rsidRPr="00322E89">
        <w:rPr>
          <w:rFonts w:hint="eastAsia"/>
        </w:rPr>
        <w:t>通过基层医疗卫生机构与上级医院的双向转诊，构建老年期痴呆的“筛查-诊疗-康复-随访”全病程管理服务体系。县级及以上综合医院、中医医院或专科医院提供老年期痴呆的规范化诊疗，与上下级医疗卫生机构建立转诊、会诊的联动机制，指导下级医疗卫生机构开展随访管理等工作。鼓励医疗卫生机构设立记忆门诊，支持县级及以上综合医院、中医医院或专科医院设立认知障碍诊疗专科。加强老年期痴呆药学服务指导，促进老年期痴呆患者安全用药。通过线上线下相结合的方式，开展医院―社区―居家老年期痴呆康复服务。相关国家医学中心和国家区域医疗中心要充分发挥在临床研究、人才培养、技术转化和管理示范等方面的辐射引领作用，不断提高全国老年期痴呆诊疗整体技术水平和服务能力。完善老年期痴呆相关诊疗规范，强化学科专业建设和相关人才培养培训，加强各级各类尤其是基层医疗卫生机构相应专业人员配置。充分发挥中医药在老年期痴呆治疗中的作用，推进中医医院脑病科、老年病科等相关中医优势专科建设，加强老年期痴呆相关中医专病门诊建设。（国家卫生健康委、国家发展改革委、教育部、国家中医药局、国家药监局、中国残联按职责分工负责）</w:t>
      </w:r>
    </w:p>
    <w:p w14:paraId="5B862157" w14:textId="463D068E" w:rsidR="00322E89" w:rsidRPr="00322E89" w:rsidRDefault="00322E89" w:rsidP="00322E89">
      <w:pPr>
        <w:rPr>
          <w:rFonts w:hint="eastAsia"/>
        </w:rPr>
      </w:pPr>
      <w:r w:rsidRPr="00322E89">
        <w:rPr>
          <w:rFonts w:hint="eastAsia"/>
        </w:rPr>
        <w:lastRenderedPageBreak/>
        <w:drawing>
          <wp:inline distT="0" distB="0" distL="0" distR="0" wp14:anchorId="367C9C5C" wp14:editId="38D7B4BA">
            <wp:extent cx="5048250" cy="4876800"/>
            <wp:effectExtent l="0" t="0" r="0" b="0"/>
            <wp:docPr id="1416786142"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8250" cy="4876800"/>
                    </a:xfrm>
                    <a:prstGeom prst="rect">
                      <a:avLst/>
                    </a:prstGeom>
                    <a:noFill/>
                    <a:ln>
                      <a:noFill/>
                    </a:ln>
                  </pic:spPr>
                </pic:pic>
              </a:graphicData>
            </a:graphic>
          </wp:inline>
        </w:drawing>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
      </w:tblGrid>
      <w:tr w:rsidR="00322E89" w:rsidRPr="00322E89" w14:paraId="4C23C6C1" w14:textId="77777777" w:rsidTr="00322E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3B9DB6D" w14:textId="77777777" w:rsidR="00322E89" w:rsidRPr="00322E89" w:rsidRDefault="00322E89" w:rsidP="00322E89">
            <w:pPr>
              <w:rPr>
                <w:rFonts w:hint="eastAsia"/>
              </w:rPr>
            </w:pPr>
          </w:p>
        </w:tc>
      </w:tr>
    </w:tbl>
    <w:p w14:paraId="138CB202" w14:textId="77777777" w:rsidR="00322E89" w:rsidRPr="00322E89" w:rsidRDefault="00322E89" w:rsidP="00322E89">
      <w:r w:rsidRPr="00322E89">
        <w:rPr>
          <w:rFonts w:hint="eastAsia"/>
          <w:b/>
          <w:bCs/>
        </w:rPr>
        <w:t>（四）增加痴呆老年人照护服务供给。</w:t>
      </w:r>
      <w:r w:rsidRPr="00322E89">
        <w:rPr>
          <w:rFonts w:hint="eastAsia"/>
        </w:rPr>
        <w:t>建立居家、社区和机构相衔接的老年期痴呆照护服务模式，根据疾病不同阶段为痴呆老年人提供有针对性的照护服务。推动痴呆老年人家庭适老化改造，提升痴呆老年人居家生活的安全性和便利性。探索发展家庭养老床位，为痴呆老年人提供专业、规范的居家照护服务。支持城乡社区建设相关照护设施，向痴呆老年人提供日间照料、短期托养、认知训练、紧急救援等照护服务。加快建设养老服务机构中的痴呆老年人照护专区（单元），鼓励支持建设痴呆老年人专门照护机构。将符合条件的痴呆老年人按规定纳入长期护理保险制度保障范围，发展商业长期护理保险，减轻痴呆老年人家庭负担。加强职业教育痴呆照护相关专业人才培养，将老年期痴呆防控知识与照护技能纳入相关专业（职业）的培养内容，扩大招生规模，开展专业化培养。（民政部、教育部、财政部、人力资源社会保障部、国家卫生健康委、国家医保局、国家中医药局、中国残联按职责分工负责）</w:t>
      </w:r>
    </w:p>
    <w:p w14:paraId="1795ACAD" w14:textId="2146F750" w:rsidR="00322E89" w:rsidRPr="00322E89" w:rsidRDefault="00322E89" w:rsidP="00322E89">
      <w:pPr>
        <w:rPr>
          <w:rFonts w:hint="eastAsia"/>
        </w:rPr>
      </w:pPr>
      <w:r w:rsidRPr="00322E89">
        <w:rPr>
          <w:rFonts w:hint="eastAsia"/>
        </w:rPr>
        <w:lastRenderedPageBreak/>
        <w:drawing>
          <wp:inline distT="0" distB="0" distL="0" distR="0" wp14:anchorId="658756C0" wp14:editId="32C7424B">
            <wp:extent cx="5080000" cy="5143500"/>
            <wp:effectExtent l="0" t="0" r="6350" b="0"/>
            <wp:docPr id="1558819271"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80000" cy="5143500"/>
                    </a:xfrm>
                    <a:prstGeom prst="rect">
                      <a:avLst/>
                    </a:prstGeom>
                    <a:noFill/>
                    <a:ln>
                      <a:noFill/>
                    </a:ln>
                  </pic:spPr>
                </pic:pic>
              </a:graphicData>
            </a:graphic>
          </wp:inline>
        </w:drawing>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
      </w:tblGrid>
      <w:tr w:rsidR="00322E89" w:rsidRPr="00322E89" w14:paraId="10DF3A19" w14:textId="77777777" w:rsidTr="00322E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40E3A4B" w14:textId="77777777" w:rsidR="00322E89" w:rsidRPr="00322E89" w:rsidRDefault="00322E89" w:rsidP="00322E89">
            <w:pPr>
              <w:rPr>
                <w:rFonts w:hint="eastAsia"/>
              </w:rPr>
            </w:pPr>
          </w:p>
        </w:tc>
      </w:tr>
    </w:tbl>
    <w:p w14:paraId="5EC4854E" w14:textId="77777777" w:rsidR="00322E89" w:rsidRPr="00322E89" w:rsidRDefault="00322E89" w:rsidP="00322E89">
      <w:r w:rsidRPr="00322E89">
        <w:rPr>
          <w:rFonts w:hint="eastAsia"/>
          <w:b/>
          <w:bCs/>
        </w:rPr>
        <w:t>（五）构建老年期痴呆友好的社会环境。</w:t>
      </w:r>
      <w:r w:rsidRPr="00322E89">
        <w:rPr>
          <w:rFonts w:hint="eastAsia"/>
        </w:rPr>
        <w:t>完善老年人权益保障法律法规，禁止歧视、侮辱、虐待或者遗弃痴呆老年人，切实保障痴呆老年人的合法权益。落实监护制度，明确痴呆老年人监护人职责。加强痴呆老年人伤害风险防范和紧急救助服务，公共交通、民政救助、治安管理、社区服务等公共服务领域及时为痴呆老年人提供支持和帮助。通过多种方式宣传倡导，营造尊重、理解、包容、关爱痴呆老年人的社会氛围。充分利用社区服务资源，建立社区痴呆老年人支持服务网络。加强对痴呆老年人家庭照护者的社会支持，通过提供心理疏导和喘息服务等方式，切实减缓其精神与照护压力。（国家卫生健康委、公安部、民政部、交通运输部、广电总局、国家疾控局、中国残联按职责分工负责）</w:t>
      </w:r>
    </w:p>
    <w:p w14:paraId="343AF254" w14:textId="1D0A2D11" w:rsidR="00322E89" w:rsidRPr="00322E89" w:rsidRDefault="00322E89" w:rsidP="00322E89">
      <w:pPr>
        <w:rPr>
          <w:rFonts w:hint="eastAsia"/>
        </w:rPr>
      </w:pPr>
      <w:r w:rsidRPr="00322E89">
        <w:rPr>
          <w:rFonts w:hint="eastAsia"/>
        </w:rPr>
        <w:lastRenderedPageBreak/>
        <w:drawing>
          <wp:inline distT="0" distB="0" distL="0" distR="0" wp14:anchorId="14180215" wp14:editId="2D15166D">
            <wp:extent cx="5080000" cy="2279650"/>
            <wp:effectExtent l="0" t="0" r="6350" b="6350"/>
            <wp:docPr id="2021250968"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80000" cy="2279650"/>
                    </a:xfrm>
                    <a:prstGeom prst="rect">
                      <a:avLst/>
                    </a:prstGeom>
                    <a:noFill/>
                    <a:ln>
                      <a:noFill/>
                    </a:ln>
                  </pic:spPr>
                </pic:pic>
              </a:graphicData>
            </a:graphic>
          </wp:inline>
        </w:drawing>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
      </w:tblGrid>
      <w:tr w:rsidR="00322E89" w:rsidRPr="00322E89" w14:paraId="4E6BAC6C" w14:textId="77777777" w:rsidTr="00322E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46F570F" w14:textId="77777777" w:rsidR="00322E89" w:rsidRPr="00322E89" w:rsidRDefault="00322E89" w:rsidP="00322E89">
            <w:pPr>
              <w:rPr>
                <w:rFonts w:hint="eastAsia"/>
              </w:rPr>
            </w:pPr>
          </w:p>
        </w:tc>
      </w:tr>
    </w:tbl>
    <w:p w14:paraId="13C27A23" w14:textId="77777777" w:rsidR="00322E89" w:rsidRPr="00322E89" w:rsidRDefault="00322E89" w:rsidP="00322E89">
      <w:r w:rsidRPr="00322E89">
        <w:rPr>
          <w:rFonts w:hint="eastAsia"/>
          <w:b/>
          <w:bCs/>
        </w:rPr>
        <w:t>（六）强化应对老年期痴呆的科技支撑能力。</w:t>
      </w:r>
      <w:r w:rsidRPr="00322E89">
        <w:rPr>
          <w:rFonts w:hint="eastAsia"/>
        </w:rPr>
        <w:t>加大国家重点研发计划、国家科技重大专项、国家自然科学基金等国家级项目对老年期痴呆相关研究的支持力度。依托全国重点实验室、国家临床医学研究中心和中国疾病预防控制中心等，积极推动老年期痴呆防控科技创新。组织多学科协同攻关，力争在探究老年期痴呆发病机制、研发预防和诊疗康复新技术、创制新型治疗药物、开发中医药防治方案等方面取得突破，并推动相关科技成果转化应用。积极推动互联网、大数据、人工智能等在老年期痴呆防控中的应用，推动生物技术与信息技术在老年期痴呆防控领域的融合创新。加强全国老年期痴呆信息收集管理，组织开展全国老年期痴呆流行病学调查，掌握全国老年期痴呆及其危险因素流行情况。（科技部、国家发展改革委、财政部、国家卫生健康委、国家中医药局、国家疾控局、国家药监局、中国残联按职责分工负责）</w:t>
      </w:r>
    </w:p>
    <w:p w14:paraId="26D44E75" w14:textId="4BA13F25" w:rsidR="00322E89" w:rsidRPr="00322E89" w:rsidRDefault="00322E89" w:rsidP="00322E89">
      <w:pPr>
        <w:rPr>
          <w:rFonts w:hint="eastAsia"/>
        </w:rPr>
      </w:pPr>
      <w:r w:rsidRPr="00322E89">
        <w:rPr>
          <w:rFonts w:hint="eastAsia"/>
        </w:rPr>
        <w:drawing>
          <wp:inline distT="0" distB="0" distL="0" distR="0" wp14:anchorId="78149C8B" wp14:editId="5C0875EF">
            <wp:extent cx="5029200" cy="2286000"/>
            <wp:effectExtent l="0" t="0" r="0" b="0"/>
            <wp:docPr id="166955534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29200" cy="2286000"/>
                    </a:xfrm>
                    <a:prstGeom prst="rect">
                      <a:avLst/>
                    </a:prstGeom>
                    <a:noFill/>
                    <a:ln>
                      <a:noFill/>
                    </a:ln>
                  </pic:spPr>
                </pic:pic>
              </a:graphicData>
            </a:graphic>
          </wp:inline>
        </w:drawing>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
      </w:tblGrid>
      <w:tr w:rsidR="00322E89" w:rsidRPr="00322E89" w14:paraId="6213EF5E" w14:textId="77777777" w:rsidTr="00322E8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9D2ABC1" w14:textId="77777777" w:rsidR="00322E89" w:rsidRPr="00322E89" w:rsidRDefault="00322E89" w:rsidP="00322E89">
            <w:pPr>
              <w:rPr>
                <w:rFonts w:hint="eastAsia"/>
              </w:rPr>
            </w:pPr>
          </w:p>
        </w:tc>
      </w:tr>
    </w:tbl>
    <w:p w14:paraId="31D2C456" w14:textId="77777777" w:rsidR="00322E89" w:rsidRPr="00322E89" w:rsidRDefault="00322E89" w:rsidP="00322E89">
      <w:r w:rsidRPr="00322E89">
        <w:rPr>
          <w:rFonts w:hint="eastAsia"/>
          <w:b/>
          <w:bCs/>
        </w:rPr>
        <w:t>（七）加强应对老年期痴呆对外交流与合作。</w:t>
      </w:r>
      <w:r w:rsidRPr="00322E89">
        <w:rPr>
          <w:rFonts w:hint="eastAsia"/>
        </w:rPr>
        <w:t>支持将应对痴呆列为全球公共卫生优先事项，纳入构建人类卫生健康共同体重要内容。加强对外交流与合作，分享公共政策经验，共同推进痴呆防控体系建设。加强痴呆防控资源与技术共享。加大中医药预防老年期痴呆适宜技术及成果推广力度，深化中医药国际合作。强化医疗合作与联合科研攻关，推动痴呆诊疗技术发展。加强学术交流与人员培训。促进痴呆预防、诊疗、康复、照护等理念和技术的互学互鉴。（国家卫生健康委、科技部、人力资源社会保障部、国家中医药局、国家疾控局按职责分工负责）</w:t>
      </w:r>
    </w:p>
    <w:p w14:paraId="7DC2F340" w14:textId="77777777" w:rsidR="00322E89" w:rsidRPr="00322E89" w:rsidRDefault="00322E89" w:rsidP="00322E89">
      <w:pPr>
        <w:rPr>
          <w:rFonts w:hint="eastAsia"/>
        </w:rPr>
      </w:pPr>
      <w:r w:rsidRPr="00322E89">
        <w:rPr>
          <w:rFonts w:hint="eastAsia"/>
        </w:rPr>
        <w:t>三、组织实施</w:t>
      </w:r>
    </w:p>
    <w:p w14:paraId="3AFAE08D" w14:textId="77777777" w:rsidR="00322E89" w:rsidRPr="00322E89" w:rsidRDefault="00322E89" w:rsidP="00322E89">
      <w:pPr>
        <w:rPr>
          <w:rFonts w:hint="eastAsia"/>
        </w:rPr>
      </w:pPr>
      <w:r w:rsidRPr="00322E89">
        <w:rPr>
          <w:rFonts w:hint="eastAsia"/>
        </w:rPr>
        <w:t>本行动计划由国家卫生健康委牵头，国家发展改革委、教育部、科技部、公安部、民政部、财政部、人力资源社会保障部、交通运输部、广电总局、国家医保局、国家中医药局、国家</w:t>
      </w:r>
      <w:r w:rsidRPr="00322E89">
        <w:rPr>
          <w:rFonts w:hint="eastAsia"/>
        </w:rPr>
        <w:lastRenderedPageBreak/>
        <w:t>疾控局、国家药监局、中国残联等部门和单位按照职责分工共同推进实施。各地要将应对老年期痴呆作为民生建设的重要内容，统筹利用现有资源，保障各项任务落实。鼓励机关企事业单位、社会力量等参与老年期痴呆防控工作。国家卫生健康委会同相关部门开展调研评估，加强督促指导，及时总结经验，推动行动计划顺利实施。</w:t>
      </w:r>
    </w:p>
    <w:p w14:paraId="78350C9C" w14:textId="77777777" w:rsidR="00650F85" w:rsidRPr="00322E89" w:rsidRDefault="00650F85">
      <w:pPr>
        <w:rPr>
          <w:rFonts w:hint="eastAsia"/>
        </w:rPr>
      </w:pPr>
    </w:p>
    <w:sectPr w:rsidR="00650F85" w:rsidRPr="00322E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E89"/>
    <w:rsid w:val="00093C87"/>
    <w:rsid w:val="000C636C"/>
    <w:rsid w:val="00322E89"/>
    <w:rsid w:val="00650F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CF1C4"/>
  <w15:chartTrackingRefBased/>
  <w15:docId w15:val="{DC976EB3-CA1D-41E5-9348-719825C00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rPr>
  </w:style>
  <w:style w:type="paragraph" w:styleId="1">
    <w:name w:val="heading 1"/>
    <w:basedOn w:val="a"/>
    <w:next w:val="a"/>
    <w:link w:val="10"/>
    <w:uiPriority w:val="9"/>
    <w:qFormat/>
    <w:rsid w:val="00322E8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2E8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2E8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2E8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2E89"/>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322E89"/>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2E89"/>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2E89"/>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322E89"/>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2E89"/>
    <w:rPr>
      <w:rFonts w:asciiTheme="majorHAnsi" w:eastAsiaTheme="majorEastAsia" w:hAnsiTheme="majorHAnsi" w:cstheme="majorBidi"/>
      <w:noProof/>
      <w:color w:val="2F5496" w:themeColor="accent1" w:themeShade="BF"/>
      <w:sz w:val="48"/>
      <w:szCs w:val="48"/>
    </w:rPr>
  </w:style>
  <w:style w:type="character" w:customStyle="1" w:styleId="20">
    <w:name w:val="标题 2 字符"/>
    <w:basedOn w:val="a0"/>
    <w:link w:val="2"/>
    <w:uiPriority w:val="9"/>
    <w:semiHidden/>
    <w:rsid w:val="00322E89"/>
    <w:rPr>
      <w:rFonts w:asciiTheme="majorHAnsi" w:eastAsiaTheme="majorEastAsia" w:hAnsiTheme="majorHAnsi" w:cstheme="majorBidi"/>
      <w:noProof/>
      <w:color w:val="2F5496" w:themeColor="accent1" w:themeShade="BF"/>
      <w:sz w:val="40"/>
      <w:szCs w:val="40"/>
    </w:rPr>
  </w:style>
  <w:style w:type="character" w:customStyle="1" w:styleId="30">
    <w:name w:val="标题 3 字符"/>
    <w:basedOn w:val="a0"/>
    <w:link w:val="3"/>
    <w:uiPriority w:val="9"/>
    <w:semiHidden/>
    <w:rsid w:val="00322E89"/>
    <w:rPr>
      <w:rFonts w:asciiTheme="majorHAnsi" w:eastAsiaTheme="majorEastAsia" w:hAnsiTheme="majorHAnsi" w:cstheme="majorBidi"/>
      <w:noProof/>
      <w:color w:val="2F5496" w:themeColor="accent1" w:themeShade="BF"/>
      <w:sz w:val="32"/>
      <w:szCs w:val="32"/>
    </w:rPr>
  </w:style>
  <w:style w:type="character" w:customStyle="1" w:styleId="40">
    <w:name w:val="标题 4 字符"/>
    <w:basedOn w:val="a0"/>
    <w:link w:val="4"/>
    <w:uiPriority w:val="9"/>
    <w:semiHidden/>
    <w:rsid w:val="00322E89"/>
    <w:rPr>
      <w:rFonts w:cstheme="majorBidi"/>
      <w:noProof/>
      <w:color w:val="2F5496" w:themeColor="accent1" w:themeShade="BF"/>
      <w:sz w:val="28"/>
      <w:szCs w:val="28"/>
    </w:rPr>
  </w:style>
  <w:style w:type="character" w:customStyle="1" w:styleId="50">
    <w:name w:val="标题 5 字符"/>
    <w:basedOn w:val="a0"/>
    <w:link w:val="5"/>
    <w:uiPriority w:val="9"/>
    <w:semiHidden/>
    <w:rsid w:val="00322E89"/>
    <w:rPr>
      <w:rFonts w:cstheme="majorBidi"/>
      <w:noProof/>
      <w:color w:val="2F5496" w:themeColor="accent1" w:themeShade="BF"/>
      <w:sz w:val="24"/>
      <w:szCs w:val="24"/>
    </w:rPr>
  </w:style>
  <w:style w:type="character" w:customStyle="1" w:styleId="60">
    <w:name w:val="标题 6 字符"/>
    <w:basedOn w:val="a0"/>
    <w:link w:val="6"/>
    <w:uiPriority w:val="9"/>
    <w:semiHidden/>
    <w:rsid w:val="00322E89"/>
    <w:rPr>
      <w:rFonts w:cstheme="majorBidi"/>
      <w:b/>
      <w:bCs/>
      <w:noProof/>
      <w:color w:val="2F5496" w:themeColor="accent1" w:themeShade="BF"/>
    </w:rPr>
  </w:style>
  <w:style w:type="character" w:customStyle="1" w:styleId="70">
    <w:name w:val="标题 7 字符"/>
    <w:basedOn w:val="a0"/>
    <w:link w:val="7"/>
    <w:uiPriority w:val="9"/>
    <w:semiHidden/>
    <w:rsid w:val="00322E89"/>
    <w:rPr>
      <w:rFonts w:cstheme="majorBidi"/>
      <w:b/>
      <w:bCs/>
      <w:noProof/>
      <w:color w:val="595959" w:themeColor="text1" w:themeTint="A6"/>
    </w:rPr>
  </w:style>
  <w:style w:type="character" w:customStyle="1" w:styleId="80">
    <w:name w:val="标题 8 字符"/>
    <w:basedOn w:val="a0"/>
    <w:link w:val="8"/>
    <w:uiPriority w:val="9"/>
    <w:semiHidden/>
    <w:rsid w:val="00322E89"/>
    <w:rPr>
      <w:rFonts w:cstheme="majorBidi"/>
      <w:noProof/>
      <w:color w:val="595959" w:themeColor="text1" w:themeTint="A6"/>
    </w:rPr>
  </w:style>
  <w:style w:type="character" w:customStyle="1" w:styleId="90">
    <w:name w:val="标题 9 字符"/>
    <w:basedOn w:val="a0"/>
    <w:link w:val="9"/>
    <w:uiPriority w:val="9"/>
    <w:semiHidden/>
    <w:rsid w:val="00322E89"/>
    <w:rPr>
      <w:rFonts w:eastAsiaTheme="majorEastAsia" w:cstheme="majorBidi"/>
      <w:noProof/>
      <w:color w:val="595959" w:themeColor="text1" w:themeTint="A6"/>
    </w:rPr>
  </w:style>
  <w:style w:type="paragraph" w:styleId="a3">
    <w:name w:val="Title"/>
    <w:basedOn w:val="a"/>
    <w:next w:val="a"/>
    <w:link w:val="a4"/>
    <w:uiPriority w:val="10"/>
    <w:qFormat/>
    <w:rsid w:val="00322E8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2E89"/>
    <w:rPr>
      <w:rFonts w:asciiTheme="majorHAnsi" w:eastAsiaTheme="majorEastAsia" w:hAnsiTheme="majorHAnsi" w:cstheme="majorBidi"/>
      <w:noProof/>
      <w:spacing w:val="-10"/>
      <w:kern w:val="28"/>
      <w:sz w:val="56"/>
      <w:szCs w:val="56"/>
    </w:rPr>
  </w:style>
  <w:style w:type="paragraph" w:styleId="a5">
    <w:name w:val="Subtitle"/>
    <w:basedOn w:val="a"/>
    <w:next w:val="a"/>
    <w:link w:val="a6"/>
    <w:uiPriority w:val="11"/>
    <w:qFormat/>
    <w:rsid w:val="00322E8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2E89"/>
    <w:rPr>
      <w:rFonts w:asciiTheme="majorHAnsi" w:eastAsiaTheme="majorEastAsia" w:hAnsiTheme="majorHAnsi" w:cstheme="majorBidi"/>
      <w:noProof/>
      <w:color w:val="595959" w:themeColor="text1" w:themeTint="A6"/>
      <w:spacing w:val="15"/>
      <w:sz w:val="28"/>
      <w:szCs w:val="28"/>
    </w:rPr>
  </w:style>
  <w:style w:type="paragraph" w:styleId="a7">
    <w:name w:val="Quote"/>
    <w:basedOn w:val="a"/>
    <w:next w:val="a"/>
    <w:link w:val="a8"/>
    <w:uiPriority w:val="29"/>
    <w:qFormat/>
    <w:rsid w:val="00322E89"/>
    <w:pPr>
      <w:spacing w:before="160" w:after="160"/>
      <w:jc w:val="center"/>
    </w:pPr>
    <w:rPr>
      <w:i/>
      <w:iCs/>
      <w:color w:val="404040" w:themeColor="text1" w:themeTint="BF"/>
    </w:rPr>
  </w:style>
  <w:style w:type="character" w:customStyle="1" w:styleId="a8">
    <w:name w:val="引用 字符"/>
    <w:basedOn w:val="a0"/>
    <w:link w:val="a7"/>
    <w:uiPriority w:val="29"/>
    <w:rsid w:val="00322E89"/>
    <w:rPr>
      <w:i/>
      <w:iCs/>
      <w:noProof/>
      <w:color w:val="404040" w:themeColor="text1" w:themeTint="BF"/>
    </w:rPr>
  </w:style>
  <w:style w:type="paragraph" w:styleId="a9">
    <w:name w:val="List Paragraph"/>
    <w:basedOn w:val="a"/>
    <w:uiPriority w:val="34"/>
    <w:qFormat/>
    <w:rsid w:val="00322E89"/>
    <w:pPr>
      <w:ind w:left="720"/>
      <w:contextualSpacing/>
    </w:pPr>
  </w:style>
  <w:style w:type="character" w:styleId="aa">
    <w:name w:val="Intense Emphasis"/>
    <w:basedOn w:val="a0"/>
    <w:uiPriority w:val="21"/>
    <w:qFormat/>
    <w:rsid w:val="00322E89"/>
    <w:rPr>
      <w:i/>
      <w:iCs/>
      <w:color w:val="2F5496" w:themeColor="accent1" w:themeShade="BF"/>
    </w:rPr>
  </w:style>
  <w:style w:type="paragraph" w:styleId="ab">
    <w:name w:val="Intense Quote"/>
    <w:basedOn w:val="a"/>
    <w:next w:val="a"/>
    <w:link w:val="ac"/>
    <w:uiPriority w:val="30"/>
    <w:qFormat/>
    <w:rsid w:val="00322E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2E89"/>
    <w:rPr>
      <w:i/>
      <w:iCs/>
      <w:noProof/>
      <w:color w:val="2F5496" w:themeColor="accent1" w:themeShade="BF"/>
    </w:rPr>
  </w:style>
  <w:style w:type="character" w:styleId="ad">
    <w:name w:val="Intense Reference"/>
    <w:basedOn w:val="a0"/>
    <w:uiPriority w:val="32"/>
    <w:qFormat/>
    <w:rsid w:val="00322E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480524">
      <w:bodyDiv w:val="1"/>
      <w:marLeft w:val="0"/>
      <w:marRight w:val="0"/>
      <w:marTop w:val="0"/>
      <w:marBottom w:val="0"/>
      <w:divBdr>
        <w:top w:val="none" w:sz="0" w:space="0" w:color="auto"/>
        <w:left w:val="none" w:sz="0" w:space="0" w:color="auto"/>
        <w:bottom w:val="none" w:sz="0" w:space="0" w:color="auto"/>
        <w:right w:val="none" w:sz="0" w:space="0" w:color="auto"/>
      </w:divBdr>
      <w:divsChild>
        <w:div w:id="175388481">
          <w:marLeft w:val="0"/>
          <w:marRight w:val="0"/>
          <w:marTop w:val="270"/>
          <w:marBottom w:val="0"/>
          <w:divBdr>
            <w:top w:val="none" w:sz="0" w:space="0" w:color="auto"/>
            <w:left w:val="none" w:sz="0" w:space="0" w:color="auto"/>
            <w:bottom w:val="single" w:sz="6" w:space="0" w:color="E5E5E5"/>
            <w:right w:val="none" w:sz="0" w:space="0" w:color="auto"/>
          </w:divBdr>
          <w:divsChild>
            <w:div w:id="366301567">
              <w:marLeft w:val="0"/>
              <w:marRight w:val="0"/>
              <w:marTop w:val="0"/>
              <w:marBottom w:val="0"/>
              <w:divBdr>
                <w:top w:val="none" w:sz="0" w:space="0" w:color="auto"/>
                <w:left w:val="none" w:sz="0" w:space="0" w:color="auto"/>
                <w:bottom w:val="none" w:sz="0" w:space="0" w:color="auto"/>
                <w:right w:val="none" w:sz="0" w:space="0" w:color="auto"/>
              </w:divBdr>
            </w:div>
          </w:divsChild>
        </w:div>
        <w:div w:id="972172478">
          <w:marLeft w:val="0"/>
          <w:marRight w:val="0"/>
          <w:marTop w:val="0"/>
          <w:marBottom w:val="0"/>
          <w:divBdr>
            <w:top w:val="none" w:sz="0" w:space="0" w:color="auto"/>
            <w:left w:val="none" w:sz="0" w:space="0" w:color="auto"/>
            <w:bottom w:val="none" w:sz="0" w:space="0" w:color="auto"/>
            <w:right w:val="none" w:sz="0" w:space="0" w:color="auto"/>
          </w:divBdr>
        </w:div>
      </w:divsChild>
    </w:div>
    <w:div w:id="1558711064">
      <w:bodyDiv w:val="1"/>
      <w:marLeft w:val="0"/>
      <w:marRight w:val="0"/>
      <w:marTop w:val="0"/>
      <w:marBottom w:val="0"/>
      <w:divBdr>
        <w:top w:val="none" w:sz="0" w:space="0" w:color="auto"/>
        <w:left w:val="none" w:sz="0" w:space="0" w:color="auto"/>
        <w:bottom w:val="none" w:sz="0" w:space="0" w:color="auto"/>
        <w:right w:val="none" w:sz="0" w:space="0" w:color="auto"/>
      </w:divBdr>
      <w:divsChild>
        <w:div w:id="1222250452">
          <w:marLeft w:val="0"/>
          <w:marRight w:val="0"/>
          <w:marTop w:val="270"/>
          <w:marBottom w:val="0"/>
          <w:divBdr>
            <w:top w:val="none" w:sz="0" w:space="0" w:color="auto"/>
            <w:left w:val="none" w:sz="0" w:space="0" w:color="auto"/>
            <w:bottom w:val="single" w:sz="6" w:space="0" w:color="E5E5E5"/>
            <w:right w:val="none" w:sz="0" w:space="0" w:color="auto"/>
          </w:divBdr>
          <w:divsChild>
            <w:div w:id="200557631">
              <w:marLeft w:val="0"/>
              <w:marRight w:val="0"/>
              <w:marTop w:val="0"/>
              <w:marBottom w:val="0"/>
              <w:divBdr>
                <w:top w:val="none" w:sz="0" w:space="0" w:color="auto"/>
                <w:left w:val="none" w:sz="0" w:space="0" w:color="auto"/>
                <w:bottom w:val="none" w:sz="0" w:space="0" w:color="auto"/>
                <w:right w:val="none" w:sz="0" w:space="0" w:color="auto"/>
              </w:divBdr>
            </w:div>
          </w:divsChild>
        </w:div>
        <w:div w:id="12573236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webSettings" Target="webSettings.xml"/><Relationship Id="rId7" Type="http://schemas.openxmlformats.org/officeDocument/2006/relationships/hyperlink" Target="javascript:window.print()" TargetMode="External"/><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jpeg"/><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hyperlink" Target="http://www.nhc.gov.cn/lljks/tggg/202501/2a01a6e45016496789370a276e8762f0.shtml" TargetMode="Externa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544</Words>
  <Characters>3102</Characters>
  <Application>Microsoft Office Word</Application>
  <DocSecurity>0</DocSecurity>
  <Lines>25</Lines>
  <Paragraphs>7</Paragraphs>
  <ScaleCrop>false</ScaleCrop>
  <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彭天曜律师（Lawyer:PENG,Tianyao）</dc:creator>
  <cp:keywords/>
  <dc:description/>
  <cp:lastModifiedBy>彭天曜律师（Lawyer:PENG,Tianyao）</cp:lastModifiedBy>
  <cp:revision>2</cp:revision>
  <dcterms:created xsi:type="dcterms:W3CDTF">2025-02-09T14:15:00Z</dcterms:created>
  <dcterms:modified xsi:type="dcterms:W3CDTF">2025-02-09T14:15:00Z</dcterms:modified>
</cp:coreProperties>
</file>