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0BF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shd w:val="clear" w:fill="FFFFFF"/>
        </w:rPr>
        <w:t>国家药监局关于修订阿魏酸哌嗪口服制剂说明书的公告（2024年第125号）</w:t>
      </w:r>
      <w:bookmarkEnd w:id="0"/>
    </w:p>
    <w:p w14:paraId="255C96CD">
      <w:r>
        <w:rPr>
          <w:rFonts w:ascii="微软雅黑" w:hAnsi="微软雅黑" w:eastAsia="微软雅黑" w:cs="微软雅黑"/>
          <w:i w:val="0"/>
          <w:iCs w:val="0"/>
          <w:caps w:val="0"/>
          <w:color w:val="000000"/>
          <w:spacing w:val="0"/>
          <w:sz w:val="24"/>
          <w:szCs w:val="24"/>
          <w:shd w:val="clear" w:fill="FFFFFF"/>
        </w:rPr>
        <w:t>根据药品不良反应评估结果，为进一步保障公众用药安全，国家药监局决定对阿魏酸哌嗪口服制剂（包括阿魏酸哌嗪片、阿魏酸哌嗪分散片和阿魏酸哌嗪胶囊）说明书内容进行统一修订。现将有关事项公告如下：</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一、所有上述药品的上市许可持有人均应当依据《药品注册管理办法》等有关规定，按照附件要求修订说明书，于2024年12月29日前报省级药品监督管理部门备案。</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或以其他形式将说明书更新信息告知患者。</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二、药品上市许可持有人应当对新增不良反应发生机制开展深入研究，采取有效措施做好药品使用和安全性问题的宣传培训，指导医师、药师合理用药。</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三、临床医师、药师应当仔细阅读上述药品说明书的修订内容，在选择用药时，应当根据新修订说明书进行充分的获益/风险分析。</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四、患者用药前应当仔细阅读药品说明书，使用处方药的，应当严格遵医嘱用药。</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五、省级药品监督管理部门应当督促行政区域内上述药品的上市许可持有人按要求做好相应说明书修订和标签、说明书更换及说明书更新信息的告知工作，对违法违规行为依法严厉查处。</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特此公告。</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附件：阿魏酸哌嗪片、阿魏酸哌嗪分散片和阿魏酸哌嗪胶囊说明书修订要求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5Nzg1OGNmNTZlYzY5YTkyNzY4OTliMGE3ZTc5OGYifQ=="/>
  </w:docVars>
  <w:rsids>
    <w:rsidRoot w:val="776F3066"/>
    <w:rsid w:val="776F3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2024-10-28T02:38:00Z</dcterms:created>
  <dc:creator>wies</dc:creator>
  <cp:lastModifiedBy>wies</cp:lastModifiedBy>
  <dcterms:modified xsi:type="dcterms:W3CDTF">2024-10-28T02:42:25Z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0889DF43C25946B9AA02EA36B4E58EC6_11</vt:lpwstr>
  </property>
</Properties>
</file>