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top"/>
        <w:rPr>
          <w:rFonts w:ascii="微软雅黑" w:hAnsi="微软雅黑" w:eastAsia="微软雅黑" w:cs="微软雅黑"/>
          <w:i w:val="0"/>
          <w:iCs w:val="0"/>
          <w:caps w:val="0"/>
          <w:color w:val="717171"/>
          <w:spacing w:val="0"/>
          <w:sz w:val="25"/>
          <w:szCs w:val="25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717171"/>
          <w:spacing w:val="0"/>
          <w:sz w:val="25"/>
          <w:szCs w:val="25"/>
          <w:bdr w:val="none" w:color="auto" w:sz="0" w:space="0"/>
          <w:shd w:val="clear" w:fill="FFFFFF"/>
        </w:rPr>
        <w:t>国家药监局关于发布医疗器械经营质量管理规范的公告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717171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17171"/>
          <w:spacing w:val="0"/>
          <w:sz w:val="25"/>
          <w:szCs w:val="25"/>
          <w:bdr w:val="none" w:color="auto" w:sz="0" w:space="0"/>
          <w:shd w:val="clear" w:fill="FFFFFF"/>
        </w:rPr>
        <w:t>（2023年第153号）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717171"/>
          <w:spacing w:val="0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717171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17171"/>
          <w:spacing w:val="0"/>
          <w:sz w:val="25"/>
          <w:szCs w:val="25"/>
          <w:bdr w:val="none" w:color="auto" w:sz="0" w:space="0"/>
          <w:shd w:val="clear" w:fill="FFFFFF"/>
        </w:rPr>
        <w:t>　　为加强医疗器械经营质量管理，规范医疗器械经营行为，促进行业规范发展，保障公众用械安全有效，根据相关法规规章规定，国家药监局修订了《医疗器械经营质量管理规范》，现予发布，自2024年7月1日起施行，原国家食品药品监督管理总局《关于施行医疗器械经营质量管理规范的公告》（2014年第58号）同时废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717171"/>
          <w:spacing w:val="0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717171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17171"/>
          <w:spacing w:val="0"/>
          <w:sz w:val="25"/>
          <w:szCs w:val="25"/>
          <w:bdr w:val="none" w:color="auto" w:sz="0" w:space="0"/>
          <w:shd w:val="clear" w:fill="FFFFFF"/>
        </w:rPr>
        <w:t>　　特此公告。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717171"/>
          <w:spacing w:val="0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717171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17171"/>
          <w:spacing w:val="0"/>
          <w:sz w:val="25"/>
          <w:szCs w:val="25"/>
          <w:bdr w:val="none" w:color="auto" w:sz="0" w:space="0"/>
          <w:shd w:val="clear" w:fill="FFFFFF"/>
        </w:rPr>
        <w:t>　　附件：医疗器械经营质量管理规范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717171"/>
          <w:spacing w:val="0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717171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17171"/>
          <w:spacing w:val="0"/>
          <w:sz w:val="25"/>
          <w:szCs w:val="25"/>
          <w:bdr w:val="none" w:color="auto" w:sz="0" w:space="0"/>
          <w:shd w:val="clear" w:fill="FFFFFF"/>
        </w:rPr>
        <w:t>　　国家药监局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717171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17171"/>
          <w:spacing w:val="0"/>
          <w:sz w:val="25"/>
          <w:szCs w:val="25"/>
          <w:bdr w:val="none" w:color="auto" w:sz="0" w:space="0"/>
          <w:shd w:val="clear" w:fill="FFFFFF"/>
        </w:rPr>
        <w:t>　　2023年12月4日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4ZmFlNjYxZWE3YjM5ZjAxNDM5OGRkNTFkZjUwNTYifQ=="/>
  </w:docVars>
  <w:rsids>
    <w:rsidRoot w:val="2D5A6392"/>
    <w:rsid w:val="2D5A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219</Characters>
  <Lines>0</Lines>
  <Paragraphs>0</Paragraphs>
  <TotalTime>0</TotalTime>
  <ScaleCrop>false</ScaleCrop>
  <LinksUpToDate>false</LinksUpToDate>
  <CharactersWithSpaces>229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2023-12-28T01:59:00Z</dcterms:created>
  <dc:creator>京师珠海品宣部</dc:creator>
  <cp:lastModifiedBy>京师珠海品宣部</cp:lastModifiedBy>
  <dcterms:modified xsi:type="dcterms:W3CDTF">2023-12-28T01:59:50Z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F4EAF7EE75214898978C17B747619878_11</vt:lpwstr>
  </property>
</Properties>
</file>