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54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9"/>
          <w:szCs w:val="39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9"/>
          <w:szCs w:val="39"/>
          <w:bdr w:val="none" w:color="auto" w:sz="0" w:space="0"/>
          <w:shd w:val="clear" w:fill="FEFEFE"/>
          <w:lang w:val="en-US" w:eastAsia="zh-CN" w:bidi="ar"/>
        </w:rPr>
        <w:t>国家金融监督管理总局发布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9"/>
          <w:szCs w:val="39"/>
          <w:bdr w:val="none" w:color="auto" w:sz="0" w:space="0"/>
          <w:shd w:val="clear" w:fill="FEFEFE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9"/>
          <w:szCs w:val="39"/>
          <w:bdr w:val="none" w:color="auto" w:sz="0" w:space="0"/>
          <w:shd w:val="clear" w:fill="FEFEFE"/>
          <w:lang w:val="en-US" w:eastAsia="zh-CN" w:bidi="ar"/>
        </w:rPr>
        <w:t>《非银行金融机构行政许可事项实施办法》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376" w:right="376" w:firstLine="60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EFEFE"/>
        </w:rPr>
        <w:t>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EFEFE"/>
        </w:rPr>
        <w:t>加强非银行金融机构（以下简称非银机构）监管，稳妥推进对外开放工作部署，持续深化“放管服”改革，做好行政许可与监管制度有效衔接，金融监管总局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EFEFE"/>
        </w:rPr>
        <w:t>修订发布了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EFEFE"/>
        </w:rPr>
        <w:t>《非银行金融机构行政许可事项实施办法》（以下简称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EFEFE"/>
        </w:rPr>
        <w:t>《办法》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EFEFE"/>
        </w:rPr>
        <w:t>），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EFEFE"/>
        </w:rPr>
        <w:t>自2023年11月10日起施行。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376" w:right="376" w:firstLine="60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EFEFE"/>
        </w:rPr>
        <w:t>2023年7月21日至8月21日，金融监管总局就《办法》向社会公开征求意见，在深入评估论证各方意见后，进一步修改完善了《办法》。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376" w:right="376" w:firstLine="60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EFEFE"/>
        </w:rPr>
        <w:t>《办法》共七章204条。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EFEFE"/>
        </w:rPr>
        <w:t>主要修订内容如下：一是调整部分事项准入条件。结合近年修订的《企业集团财务公司管理办法》《汽车金融公司管理办法》，同步调整机构设立和股东准入条件，落实业务分级管理规定，完善财务公司专项业务准入条件。二是持续扩大对外开放。进一步放宽境外机构入股金融资产管理公司的准入条件，允许境外非金融机构作为金融资产管理公司出资人，取消境外金融机构作为金融资产管理公司出资人的总资产要求。三是推进简政放权工作。简化债券发行和部分人员任职资格审批程序，取消非银机构发行非资本类债券审批、金融资产管理公司财务部门和内审部门负责人任职资格核准事项，改为事后报告制，明确资本类债券储架发行机制。四是完善相关行政许可规定。总结近年来非银机构行政许可工作中遇到的实际问题，加强对股东资质的审查，完善行政许可条件、程序等相关规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376" w:right="376" w:firstLine="60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EFEFE"/>
        </w:rPr>
        <w:t>附件：《非银行金融机构行政许可事项实施办法》（国家金融监督管理总局令2023年第3号）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4ZmFlNjYxZWE3YjM5ZjAxNDM5OGRkNTFkZjUwNTYifQ=="/>
  </w:docVars>
  <w:rsids>
    <w:rsidRoot w:val="59A328FA"/>
    <w:rsid w:val="59A3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2023-11-23T06:38:00Z</dcterms:created>
  <dc:creator>京师珠海品宣部</dc:creator>
  <cp:lastModifiedBy>京师珠海品宣部</cp:lastModifiedBy>
  <dcterms:modified xsi:type="dcterms:W3CDTF">2023-11-23T06:38:44Z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C884DDDDE6CD4FE5B953762CC7141292_11</vt:lpwstr>
  </property>
</Properties>
</file>