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70C56" w14:textId="77777777" w:rsidR="000F4AED" w:rsidRPr="000F4AED" w:rsidRDefault="000F4AED" w:rsidP="000F4AED">
      <w:pPr>
        <w:jc w:val="center"/>
        <w:rPr>
          <w:rFonts w:ascii="仿宋" w:eastAsia="仿宋" w:hAnsi="仿宋"/>
          <w:sz w:val="28"/>
          <w:szCs w:val="28"/>
        </w:rPr>
      </w:pPr>
      <w:r w:rsidRPr="000F4AED">
        <w:rPr>
          <w:rFonts w:ascii="仿宋" w:eastAsia="仿宋" w:hAnsi="仿宋" w:hint="eastAsia"/>
          <w:sz w:val="28"/>
          <w:szCs w:val="28"/>
        </w:rPr>
        <w:t>关于印发《广东省药品监督管理局中药饮片不符合药品标准尚不影响安全性、有效性的认定指导原则》的通知</w:t>
      </w:r>
    </w:p>
    <w:p w14:paraId="21742963" w14:textId="77777777" w:rsidR="000F4AED" w:rsidRPr="000F4AED" w:rsidRDefault="000F4AED" w:rsidP="000F4AED">
      <w:pPr>
        <w:jc w:val="right"/>
        <w:rPr>
          <w:rFonts w:ascii="仿宋" w:eastAsia="仿宋" w:hAnsi="仿宋"/>
          <w:sz w:val="28"/>
          <w:szCs w:val="28"/>
        </w:rPr>
      </w:pPr>
      <w:proofErr w:type="gramStart"/>
      <w:r w:rsidRPr="000F4AED">
        <w:rPr>
          <w:rFonts w:ascii="仿宋" w:eastAsia="仿宋" w:hAnsi="仿宋" w:hint="eastAsia"/>
          <w:sz w:val="28"/>
          <w:szCs w:val="28"/>
        </w:rPr>
        <w:t>粤药监规</w:t>
      </w:r>
      <w:proofErr w:type="gramEnd"/>
      <w:r w:rsidRPr="000F4AED">
        <w:rPr>
          <w:rFonts w:ascii="仿宋" w:eastAsia="仿宋" w:hAnsi="仿宋" w:hint="eastAsia"/>
          <w:sz w:val="28"/>
          <w:szCs w:val="28"/>
        </w:rPr>
        <w:t>执法〔</w:t>
      </w:r>
      <w:r w:rsidRPr="000F4AED">
        <w:rPr>
          <w:rFonts w:ascii="仿宋" w:eastAsia="仿宋" w:hAnsi="仿宋"/>
          <w:sz w:val="28"/>
          <w:szCs w:val="28"/>
        </w:rPr>
        <w:t>2021〕2号</w:t>
      </w:r>
    </w:p>
    <w:p w14:paraId="00646DD8" w14:textId="77777777" w:rsidR="000F4AED" w:rsidRPr="000F4AED" w:rsidRDefault="000F4AED" w:rsidP="000F4AED">
      <w:pPr>
        <w:rPr>
          <w:rFonts w:ascii="仿宋" w:eastAsia="仿宋" w:hAnsi="仿宋"/>
          <w:sz w:val="28"/>
          <w:szCs w:val="28"/>
        </w:rPr>
      </w:pPr>
    </w:p>
    <w:p w14:paraId="73546178" w14:textId="120B3B78" w:rsidR="000F4AED" w:rsidRPr="000F4AED" w:rsidRDefault="000F4AED" w:rsidP="000F4AED">
      <w:pPr>
        <w:rPr>
          <w:rFonts w:ascii="仿宋" w:eastAsia="仿宋" w:hAnsi="仿宋" w:hint="eastAsia"/>
          <w:sz w:val="28"/>
          <w:szCs w:val="28"/>
        </w:rPr>
      </w:pPr>
      <w:r w:rsidRPr="000F4AED">
        <w:rPr>
          <w:rFonts w:ascii="仿宋" w:eastAsia="仿宋" w:hAnsi="仿宋" w:hint="eastAsia"/>
          <w:sz w:val="28"/>
          <w:szCs w:val="28"/>
        </w:rPr>
        <w:t>各地级以上市市场监督管理局，省局各有关处室、药品稽查办公室：</w:t>
      </w:r>
    </w:p>
    <w:p w14:paraId="46831C2B" w14:textId="53F52064" w:rsidR="000F4AED" w:rsidRPr="000F4AED" w:rsidRDefault="000F4AED" w:rsidP="000F4AED">
      <w:pPr>
        <w:rPr>
          <w:rFonts w:ascii="仿宋" w:eastAsia="仿宋" w:hAnsi="仿宋" w:hint="eastAsia"/>
          <w:sz w:val="28"/>
          <w:szCs w:val="28"/>
        </w:rPr>
      </w:pPr>
      <w:r w:rsidRPr="000F4AED">
        <w:rPr>
          <w:rFonts w:ascii="仿宋" w:eastAsia="仿宋" w:hAnsi="仿宋" w:hint="eastAsia"/>
          <w:sz w:val="28"/>
          <w:szCs w:val="28"/>
        </w:rPr>
        <w:t xml:space="preserve">　　《广东省药品监督管理局中药饮片不符合药品标准尚不影响安全性、有效性的认定指导原则》，经</w:t>
      </w:r>
      <w:r w:rsidRPr="000F4AED">
        <w:rPr>
          <w:rFonts w:ascii="仿宋" w:eastAsia="仿宋" w:hAnsi="仿宋"/>
          <w:sz w:val="28"/>
          <w:szCs w:val="28"/>
        </w:rPr>
        <w:t>2021年4月30日局务会议审议通过，2021年6月1日经省司法厅审查通过。现予以印发，请遵照执行。</w:t>
      </w:r>
    </w:p>
    <w:p w14:paraId="5CA8C6FA" w14:textId="7DE88633" w:rsidR="000F4AED" w:rsidRPr="000F4AED" w:rsidRDefault="000F4AED" w:rsidP="000F4AED">
      <w:pPr>
        <w:jc w:val="right"/>
        <w:rPr>
          <w:rFonts w:ascii="仿宋" w:eastAsia="仿宋" w:hAnsi="仿宋" w:hint="eastAsia"/>
          <w:sz w:val="28"/>
          <w:szCs w:val="28"/>
        </w:rPr>
      </w:pPr>
      <w:r w:rsidRPr="000F4AED">
        <w:rPr>
          <w:rFonts w:ascii="仿宋" w:eastAsia="仿宋" w:hAnsi="仿宋" w:hint="eastAsia"/>
          <w:sz w:val="28"/>
          <w:szCs w:val="28"/>
        </w:rPr>
        <w:t>广东省药品监督管理局</w:t>
      </w:r>
    </w:p>
    <w:p w14:paraId="51E63B23" w14:textId="77777777" w:rsidR="000F4AED" w:rsidRPr="000F4AED" w:rsidRDefault="000F4AED" w:rsidP="000F4AED">
      <w:pPr>
        <w:jc w:val="right"/>
        <w:rPr>
          <w:rFonts w:ascii="仿宋" w:eastAsia="仿宋" w:hAnsi="仿宋"/>
          <w:sz w:val="28"/>
          <w:szCs w:val="28"/>
        </w:rPr>
      </w:pPr>
      <w:r w:rsidRPr="000F4AED">
        <w:rPr>
          <w:rFonts w:ascii="仿宋" w:eastAsia="仿宋" w:hAnsi="仿宋"/>
          <w:sz w:val="28"/>
          <w:szCs w:val="28"/>
        </w:rPr>
        <w:t xml:space="preserve">2021年6月7日 </w:t>
      </w:r>
    </w:p>
    <w:p w14:paraId="08779126" w14:textId="77777777" w:rsidR="000F4AED" w:rsidRPr="000F4AED" w:rsidRDefault="000F4AED" w:rsidP="000F4AED">
      <w:pPr>
        <w:rPr>
          <w:rFonts w:ascii="仿宋" w:eastAsia="仿宋" w:hAnsi="仿宋"/>
          <w:sz w:val="28"/>
          <w:szCs w:val="28"/>
        </w:rPr>
      </w:pPr>
    </w:p>
    <w:p w14:paraId="4D7C9961" w14:textId="0088983E" w:rsidR="000F4AED" w:rsidRPr="000F4AED" w:rsidRDefault="000F4AED" w:rsidP="000F4AED">
      <w:pPr>
        <w:jc w:val="center"/>
        <w:rPr>
          <w:rFonts w:ascii="仿宋" w:eastAsia="仿宋" w:hAnsi="仿宋"/>
          <w:sz w:val="28"/>
          <w:szCs w:val="28"/>
        </w:rPr>
      </w:pPr>
      <w:r w:rsidRPr="000F4AED">
        <w:rPr>
          <w:rFonts w:ascii="仿宋" w:eastAsia="仿宋" w:hAnsi="仿宋" w:hint="eastAsia"/>
          <w:sz w:val="28"/>
          <w:szCs w:val="28"/>
        </w:rPr>
        <w:t>广东省药品监督管理局中药饮片不符合药品标准尚不影响安全性、有效性的认定指导原则</w:t>
      </w:r>
    </w:p>
    <w:p w14:paraId="40150929" w14:textId="77777777" w:rsidR="000F4AED" w:rsidRPr="000F4AED" w:rsidRDefault="000F4AED" w:rsidP="000F4AED">
      <w:pPr>
        <w:rPr>
          <w:rFonts w:ascii="仿宋" w:eastAsia="仿宋" w:hAnsi="仿宋"/>
          <w:sz w:val="28"/>
          <w:szCs w:val="28"/>
        </w:rPr>
      </w:pPr>
    </w:p>
    <w:p w14:paraId="531467A6" w14:textId="13452DD6" w:rsidR="000F4AED" w:rsidRPr="000F4AED" w:rsidRDefault="000F4AED" w:rsidP="000F4AED">
      <w:pPr>
        <w:rPr>
          <w:rFonts w:ascii="仿宋" w:eastAsia="仿宋" w:hAnsi="仿宋" w:hint="eastAsia"/>
          <w:sz w:val="28"/>
          <w:szCs w:val="28"/>
        </w:rPr>
      </w:pPr>
      <w:r w:rsidRPr="000F4AED">
        <w:rPr>
          <w:rFonts w:ascii="仿宋" w:eastAsia="仿宋" w:hAnsi="仿宋" w:hint="eastAsia"/>
          <w:sz w:val="28"/>
          <w:szCs w:val="28"/>
        </w:rPr>
        <w:t xml:space="preserve">　　第一条</w:t>
      </w:r>
      <w:r w:rsidRPr="000F4AED">
        <w:rPr>
          <w:rFonts w:ascii="仿宋" w:eastAsia="仿宋" w:hAnsi="仿宋"/>
          <w:sz w:val="28"/>
          <w:szCs w:val="28"/>
        </w:rPr>
        <w:t xml:space="preserve"> 为规范不符合药品标准的中药饮片案件办理，根据《中华人民共和国药品管理法》《中国药典》等相关法律法规规定，制定本原则。</w:t>
      </w:r>
    </w:p>
    <w:p w14:paraId="50D92239" w14:textId="77777777" w:rsidR="000F4AED" w:rsidRPr="000F4AED" w:rsidRDefault="000F4AED" w:rsidP="000F4AED">
      <w:pPr>
        <w:rPr>
          <w:rFonts w:ascii="仿宋" w:eastAsia="仿宋" w:hAnsi="仿宋"/>
          <w:sz w:val="28"/>
          <w:szCs w:val="28"/>
        </w:rPr>
      </w:pPr>
      <w:r w:rsidRPr="000F4AED">
        <w:rPr>
          <w:rFonts w:ascii="仿宋" w:eastAsia="仿宋" w:hAnsi="仿宋" w:hint="eastAsia"/>
          <w:sz w:val="28"/>
          <w:szCs w:val="28"/>
        </w:rPr>
        <w:t xml:space="preserve">　　第二条</w:t>
      </w:r>
      <w:r w:rsidRPr="000F4AED">
        <w:rPr>
          <w:rFonts w:ascii="仿宋" w:eastAsia="仿宋" w:hAnsi="仿宋"/>
          <w:sz w:val="28"/>
          <w:szCs w:val="28"/>
        </w:rPr>
        <w:t xml:space="preserve"> 本原则所称中药饮片不符合药品标准，尚不影响安全性、有效性的范围是指《中华人民共和国药品管理法》第九十八条第三款第七项规定的其他不符合药品标准的药品，不包括该款其它项。</w:t>
      </w:r>
    </w:p>
    <w:p w14:paraId="3502CA29" w14:textId="77777777" w:rsidR="000F4AED" w:rsidRPr="000F4AED" w:rsidRDefault="000F4AED" w:rsidP="000F4AED">
      <w:pPr>
        <w:rPr>
          <w:rFonts w:ascii="仿宋" w:eastAsia="仿宋" w:hAnsi="仿宋"/>
          <w:sz w:val="28"/>
          <w:szCs w:val="28"/>
        </w:rPr>
      </w:pPr>
    </w:p>
    <w:p w14:paraId="26BFA1DA" w14:textId="5FFC1DC5" w:rsidR="000F4AED" w:rsidRPr="000F4AED" w:rsidRDefault="000F4AED" w:rsidP="000F4AED">
      <w:pPr>
        <w:rPr>
          <w:rFonts w:ascii="仿宋" w:eastAsia="仿宋" w:hAnsi="仿宋" w:hint="eastAsia"/>
          <w:sz w:val="28"/>
          <w:szCs w:val="28"/>
        </w:rPr>
      </w:pPr>
      <w:r w:rsidRPr="000F4AED">
        <w:rPr>
          <w:rFonts w:ascii="仿宋" w:eastAsia="仿宋" w:hAnsi="仿宋" w:hint="eastAsia"/>
          <w:sz w:val="28"/>
          <w:szCs w:val="28"/>
        </w:rPr>
        <w:lastRenderedPageBreak/>
        <w:t xml:space="preserve">　　本认定原则仅作为执法人员认定不符合药品标准的中药饮片是否属于尚不影响安全性、有效性情形的指导性原则，不改变其不符合药品标准的结论。</w:t>
      </w:r>
    </w:p>
    <w:p w14:paraId="3D1E9931" w14:textId="660EE84B" w:rsidR="000F4AED" w:rsidRPr="000F4AED" w:rsidRDefault="000F4AED" w:rsidP="000F4AED">
      <w:pPr>
        <w:rPr>
          <w:rFonts w:ascii="仿宋" w:eastAsia="仿宋" w:hAnsi="仿宋" w:hint="eastAsia"/>
          <w:sz w:val="28"/>
          <w:szCs w:val="28"/>
        </w:rPr>
      </w:pPr>
      <w:r w:rsidRPr="000F4AED">
        <w:rPr>
          <w:rFonts w:ascii="仿宋" w:eastAsia="仿宋" w:hAnsi="仿宋" w:hint="eastAsia"/>
          <w:sz w:val="28"/>
          <w:szCs w:val="28"/>
        </w:rPr>
        <w:t xml:space="preserve">　　第三条</w:t>
      </w:r>
      <w:r w:rsidRPr="000F4AED">
        <w:rPr>
          <w:rFonts w:ascii="仿宋" w:eastAsia="仿宋" w:hAnsi="仿宋"/>
          <w:sz w:val="28"/>
          <w:szCs w:val="28"/>
        </w:rPr>
        <w:t xml:space="preserve"> 影响中药饮片有效性、安全性的因素主要有中药材来源、真伪、含量高低以及内源性和外源性有害或者有毒物质的限量等。</w:t>
      </w:r>
    </w:p>
    <w:p w14:paraId="2835BBDC" w14:textId="64F25F9C" w:rsidR="000F4AED" w:rsidRPr="000F4AED" w:rsidRDefault="000F4AED" w:rsidP="000F4AED">
      <w:pPr>
        <w:rPr>
          <w:rFonts w:ascii="仿宋" w:eastAsia="仿宋" w:hAnsi="仿宋" w:hint="eastAsia"/>
          <w:sz w:val="28"/>
          <w:szCs w:val="28"/>
        </w:rPr>
      </w:pPr>
      <w:r w:rsidRPr="000F4AED">
        <w:rPr>
          <w:rFonts w:ascii="仿宋" w:eastAsia="仿宋" w:hAnsi="仿宋" w:hint="eastAsia"/>
          <w:sz w:val="28"/>
          <w:szCs w:val="28"/>
        </w:rPr>
        <w:t xml:space="preserve">　　通常认定为影响中药饮片有效性的检验项目有鉴别、浸出物、特征图谱</w:t>
      </w:r>
      <w:r w:rsidRPr="000F4AED">
        <w:rPr>
          <w:rFonts w:ascii="仿宋" w:eastAsia="仿宋" w:hAnsi="仿宋"/>
          <w:sz w:val="28"/>
          <w:szCs w:val="28"/>
        </w:rPr>
        <w:t>/指纹图谱、含量测定等。</w:t>
      </w:r>
    </w:p>
    <w:p w14:paraId="0875DD23" w14:textId="414ABFC2" w:rsidR="000F4AED" w:rsidRPr="000F4AED" w:rsidRDefault="000F4AED" w:rsidP="000F4AED">
      <w:pPr>
        <w:rPr>
          <w:rFonts w:ascii="仿宋" w:eastAsia="仿宋" w:hAnsi="仿宋" w:hint="eastAsia"/>
          <w:sz w:val="28"/>
          <w:szCs w:val="28"/>
        </w:rPr>
      </w:pPr>
      <w:r w:rsidRPr="000F4AED">
        <w:rPr>
          <w:rFonts w:ascii="仿宋" w:eastAsia="仿宋" w:hAnsi="仿宋" w:hint="eastAsia"/>
          <w:sz w:val="28"/>
          <w:szCs w:val="28"/>
        </w:rPr>
        <w:t xml:space="preserve">　　通常认定为影响中药饮片安全性的检验项目有二氧化硫残留量、重金属及有害元素</w:t>
      </w:r>
      <w:r w:rsidRPr="000F4AED">
        <w:rPr>
          <w:rFonts w:ascii="微软雅黑" w:eastAsia="微软雅黑" w:hAnsi="微软雅黑" w:cs="微软雅黑" w:hint="eastAsia"/>
          <w:sz w:val="28"/>
          <w:szCs w:val="28"/>
        </w:rPr>
        <w:t>､</w:t>
      </w:r>
      <w:r w:rsidRPr="000F4AED">
        <w:rPr>
          <w:rFonts w:ascii="仿宋" w:eastAsia="仿宋" w:hAnsi="仿宋" w:cs="等线" w:hint="eastAsia"/>
          <w:sz w:val="28"/>
          <w:szCs w:val="28"/>
        </w:rPr>
        <w:t>农药残留量、真菌毒素、直接口服及泡服饮片的微生物限度、毒性成分的限量检查等。</w:t>
      </w:r>
    </w:p>
    <w:p w14:paraId="28D93A36" w14:textId="6BAB5861" w:rsidR="000F4AED" w:rsidRPr="000F4AED" w:rsidRDefault="000F4AED" w:rsidP="000F4AED">
      <w:pPr>
        <w:rPr>
          <w:rFonts w:ascii="仿宋" w:eastAsia="仿宋" w:hAnsi="仿宋" w:hint="eastAsia"/>
          <w:sz w:val="28"/>
          <w:szCs w:val="28"/>
        </w:rPr>
      </w:pPr>
      <w:r w:rsidRPr="000F4AED">
        <w:rPr>
          <w:rFonts w:ascii="仿宋" w:eastAsia="仿宋" w:hAnsi="仿宋" w:hint="eastAsia"/>
          <w:sz w:val="28"/>
          <w:szCs w:val="28"/>
        </w:rPr>
        <w:t xml:space="preserve">　　第四条</w:t>
      </w:r>
      <w:r w:rsidRPr="000F4AED">
        <w:rPr>
          <w:rFonts w:ascii="仿宋" w:eastAsia="仿宋" w:hAnsi="仿宋"/>
          <w:sz w:val="28"/>
          <w:szCs w:val="28"/>
        </w:rPr>
        <w:t xml:space="preserve"> 在</w:t>
      </w:r>
      <w:proofErr w:type="gramStart"/>
      <w:r w:rsidRPr="000F4AED">
        <w:rPr>
          <w:rFonts w:ascii="仿宋" w:eastAsia="仿宋" w:hAnsi="仿宋"/>
          <w:sz w:val="28"/>
          <w:szCs w:val="28"/>
        </w:rPr>
        <w:t>品种基原和</w:t>
      </w:r>
      <w:proofErr w:type="gramEnd"/>
      <w:r w:rsidRPr="000F4AED">
        <w:rPr>
          <w:rFonts w:ascii="仿宋" w:eastAsia="仿宋" w:hAnsi="仿宋"/>
          <w:sz w:val="28"/>
          <w:szCs w:val="28"/>
        </w:rPr>
        <w:t>药用部位正确的前提下，中药饮片的性状项目不符合药品标准规定，但存在以下情形的，可以认定为尚不影响中药饮片的安全性、有效性：</w:t>
      </w:r>
    </w:p>
    <w:p w14:paraId="4505FB01" w14:textId="276A7873" w:rsidR="000F4AED" w:rsidRPr="000F4AED" w:rsidRDefault="000F4AED" w:rsidP="000F4AED">
      <w:pPr>
        <w:rPr>
          <w:rFonts w:ascii="仿宋" w:eastAsia="仿宋" w:hAnsi="仿宋" w:hint="eastAsia"/>
          <w:sz w:val="28"/>
          <w:szCs w:val="28"/>
        </w:rPr>
      </w:pPr>
      <w:r w:rsidRPr="000F4AED">
        <w:rPr>
          <w:rFonts w:ascii="仿宋" w:eastAsia="仿宋" w:hAnsi="仿宋" w:hint="eastAsia"/>
          <w:sz w:val="28"/>
          <w:szCs w:val="28"/>
        </w:rPr>
        <w:t xml:space="preserve">　　（一）切制规格、形状、大小、厚薄等不符合药品标准规定但省内有使用习惯或临床需求的；</w:t>
      </w:r>
    </w:p>
    <w:p w14:paraId="3EAEE57A" w14:textId="3A9BAD51" w:rsidR="000F4AED" w:rsidRPr="000F4AED" w:rsidRDefault="000F4AED" w:rsidP="000F4AED">
      <w:pPr>
        <w:rPr>
          <w:rFonts w:ascii="仿宋" w:eastAsia="仿宋" w:hAnsi="仿宋" w:hint="eastAsia"/>
          <w:sz w:val="28"/>
          <w:szCs w:val="28"/>
        </w:rPr>
      </w:pPr>
      <w:r w:rsidRPr="000F4AED">
        <w:rPr>
          <w:rFonts w:ascii="仿宋" w:eastAsia="仿宋" w:hAnsi="仿宋" w:hint="eastAsia"/>
          <w:sz w:val="28"/>
          <w:szCs w:val="28"/>
        </w:rPr>
        <w:t xml:space="preserve">　　（二）色泽不符合药品标准规定但未超出药品标准规定色系且无其他不符合药品标准的问题的。</w:t>
      </w:r>
    </w:p>
    <w:p w14:paraId="4392376F" w14:textId="0154D897" w:rsidR="000F4AED" w:rsidRPr="000F4AED" w:rsidRDefault="000F4AED" w:rsidP="000F4AED">
      <w:pPr>
        <w:rPr>
          <w:rFonts w:ascii="仿宋" w:eastAsia="仿宋" w:hAnsi="仿宋" w:hint="eastAsia"/>
          <w:sz w:val="28"/>
          <w:szCs w:val="28"/>
        </w:rPr>
      </w:pPr>
      <w:r w:rsidRPr="000F4AED">
        <w:rPr>
          <w:rFonts w:ascii="仿宋" w:eastAsia="仿宋" w:hAnsi="仿宋" w:hint="eastAsia"/>
          <w:sz w:val="28"/>
          <w:szCs w:val="28"/>
        </w:rPr>
        <w:t xml:space="preserve">　　第五条</w:t>
      </w:r>
      <w:r w:rsidRPr="000F4AED">
        <w:rPr>
          <w:rFonts w:ascii="仿宋" w:eastAsia="仿宋" w:hAnsi="仿宋"/>
          <w:sz w:val="28"/>
          <w:szCs w:val="28"/>
        </w:rPr>
        <w:t xml:space="preserve"> 中药饮片的水分或干燥失重检查项不符合标准规定，但存在以下情形之一的，可以认定为尚不影响中药饮片的有效性、安全性：</w:t>
      </w:r>
    </w:p>
    <w:p w14:paraId="5B913AD9" w14:textId="2F05DC5E" w:rsidR="000F4AED" w:rsidRPr="000F4AED" w:rsidRDefault="000F4AED" w:rsidP="000F4AED">
      <w:pPr>
        <w:rPr>
          <w:rFonts w:ascii="仿宋" w:eastAsia="仿宋" w:hAnsi="仿宋" w:hint="eastAsia"/>
          <w:sz w:val="28"/>
          <w:szCs w:val="28"/>
        </w:rPr>
      </w:pPr>
      <w:r w:rsidRPr="000F4AED">
        <w:rPr>
          <w:rFonts w:ascii="仿宋" w:eastAsia="仿宋" w:hAnsi="仿宋" w:hint="eastAsia"/>
          <w:sz w:val="28"/>
          <w:szCs w:val="28"/>
        </w:rPr>
        <w:t xml:space="preserve">　　（一）超出标准规定限度的</w:t>
      </w:r>
      <w:r w:rsidRPr="000F4AED">
        <w:rPr>
          <w:rFonts w:ascii="仿宋" w:eastAsia="仿宋" w:hAnsi="仿宋"/>
          <w:sz w:val="28"/>
          <w:szCs w:val="28"/>
        </w:rPr>
        <w:t>20%之内（含20%）；</w:t>
      </w:r>
    </w:p>
    <w:p w14:paraId="1962C8AD" w14:textId="0EE3CEE1" w:rsidR="000F4AED" w:rsidRPr="000F4AED" w:rsidRDefault="000F4AED" w:rsidP="000F4AED">
      <w:pPr>
        <w:rPr>
          <w:rFonts w:ascii="仿宋" w:eastAsia="仿宋" w:hAnsi="仿宋" w:hint="eastAsia"/>
          <w:sz w:val="28"/>
          <w:szCs w:val="28"/>
        </w:rPr>
      </w:pPr>
      <w:r w:rsidRPr="000F4AED">
        <w:rPr>
          <w:rFonts w:ascii="仿宋" w:eastAsia="仿宋" w:hAnsi="仿宋" w:hint="eastAsia"/>
          <w:sz w:val="28"/>
          <w:szCs w:val="28"/>
        </w:rPr>
        <w:t xml:space="preserve">　　（二）超出标准规定限度的</w:t>
      </w:r>
      <w:r w:rsidRPr="000F4AED">
        <w:rPr>
          <w:rFonts w:ascii="仿宋" w:eastAsia="仿宋" w:hAnsi="仿宋"/>
          <w:sz w:val="28"/>
          <w:szCs w:val="28"/>
        </w:rPr>
        <w:t>20%～30%（含30%），真菌毒素检查</w:t>
      </w:r>
      <w:r w:rsidRPr="000F4AED">
        <w:rPr>
          <w:rFonts w:ascii="仿宋" w:eastAsia="仿宋" w:hAnsi="仿宋"/>
          <w:sz w:val="28"/>
          <w:szCs w:val="28"/>
        </w:rPr>
        <w:lastRenderedPageBreak/>
        <w:t>项目符合标准规定的。</w:t>
      </w:r>
    </w:p>
    <w:p w14:paraId="4A854DE4" w14:textId="54844CB7" w:rsidR="000F4AED" w:rsidRPr="000F4AED" w:rsidRDefault="000F4AED" w:rsidP="000F4AED">
      <w:pPr>
        <w:rPr>
          <w:rFonts w:ascii="仿宋" w:eastAsia="仿宋" w:hAnsi="仿宋" w:hint="eastAsia"/>
          <w:sz w:val="28"/>
          <w:szCs w:val="28"/>
        </w:rPr>
      </w:pPr>
      <w:r w:rsidRPr="000F4AED">
        <w:rPr>
          <w:rFonts w:ascii="仿宋" w:eastAsia="仿宋" w:hAnsi="仿宋" w:hint="eastAsia"/>
          <w:sz w:val="28"/>
          <w:szCs w:val="28"/>
        </w:rPr>
        <w:t xml:space="preserve">　　中药饮片的水分或干燥失重超出标准规定限度的</w:t>
      </w:r>
      <w:r w:rsidRPr="000F4AED">
        <w:rPr>
          <w:rFonts w:ascii="仿宋" w:eastAsia="仿宋" w:hAnsi="仿宋"/>
          <w:sz w:val="28"/>
          <w:szCs w:val="28"/>
        </w:rPr>
        <w:t>30%以上的，应认定为影响中药饮片的有效性、安全性。</w:t>
      </w:r>
    </w:p>
    <w:p w14:paraId="541EE8C2" w14:textId="727FE8CC" w:rsidR="000F4AED" w:rsidRPr="000F4AED" w:rsidRDefault="000F4AED" w:rsidP="000F4AED">
      <w:pPr>
        <w:rPr>
          <w:rFonts w:ascii="仿宋" w:eastAsia="仿宋" w:hAnsi="仿宋" w:hint="eastAsia"/>
          <w:sz w:val="28"/>
          <w:szCs w:val="28"/>
        </w:rPr>
      </w:pPr>
      <w:r w:rsidRPr="000F4AED">
        <w:rPr>
          <w:rFonts w:ascii="仿宋" w:eastAsia="仿宋" w:hAnsi="仿宋" w:hint="eastAsia"/>
          <w:sz w:val="28"/>
          <w:szCs w:val="28"/>
        </w:rPr>
        <w:t xml:space="preserve">　　第六条</w:t>
      </w:r>
      <w:r w:rsidRPr="000F4AED">
        <w:rPr>
          <w:rFonts w:ascii="仿宋" w:eastAsia="仿宋" w:hAnsi="仿宋"/>
          <w:sz w:val="28"/>
          <w:szCs w:val="28"/>
        </w:rPr>
        <w:t xml:space="preserve"> 中药饮片的水分或干燥失重超出标准规定限度的20%～30%（含30%）的，被抽样单位或生产企业收到药品检验报告书后，可以在申请复验时一同申请加做真菌毒素检查的委托检验。复验机构按照中国药典通则2351真菌毒素测定法测定黄曲霉毒素和玉米</w:t>
      </w:r>
      <w:proofErr w:type="gramStart"/>
      <w:r w:rsidRPr="000F4AED">
        <w:rPr>
          <w:rFonts w:ascii="仿宋" w:eastAsia="仿宋" w:hAnsi="仿宋"/>
          <w:sz w:val="28"/>
          <w:szCs w:val="28"/>
        </w:rPr>
        <w:t>赤</w:t>
      </w:r>
      <w:proofErr w:type="gramEnd"/>
      <w:r w:rsidRPr="000F4AED">
        <w:rPr>
          <w:rFonts w:ascii="仿宋" w:eastAsia="仿宋" w:hAnsi="仿宋"/>
          <w:sz w:val="28"/>
          <w:szCs w:val="28"/>
        </w:rPr>
        <w:t>霉烯酮项目。测定结果同时符合以下标准时，可以认定为尚不影响中药饮片的安全性、有效性：</w:t>
      </w:r>
    </w:p>
    <w:p w14:paraId="2B51B1C9" w14:textId="3012DA3D" w:rsidR="000F4AED" w:rsidRPr="000F4AED" w:rsidRDefault="000F4AED" w:rsidP="000F4AED">
      <w:pPr>
        <w:rPr>
          <w:rFonts w:ascii="仿宋" w:eastAsia="仿宋" w:hAnsi="仿宋" w:hint="eastAsia"/>
          <w:sz w:val="28"/>
          <w:szCs w:val="28"/>
        </w:rPr>
      </w:pPr>
      <w:r w:rsidRPr="000F4AED">
        <w:rPr>
          <w:rFonts w:ascii="仿宋" w:eastAsia="仿宋" w:hAnsi="仿宋" w:hint="eastAsia"/>
          <w:sz w:val="28"/>
          <w:szCs w:val="28"/>
        </w:rPr>
        <w:t xml:space="preserve">　　每</w:t>
      </w:r>
      <w:r w:rsidRPr="000F4AED">
        <w:rPr>
          <w:rFonts w:ascii="仿宋" w:eastAsia="仿宋" w:hAnsi="仿宋"/>
          <w:sz w:val="28"/>
          <w:szCs w:val="28"/>
        </w:rPr>
        <w:t>1000g中药饮片含黄曲霉毒素B1不得超过5μg；</w:t>
      </w:r>
    </w:p>
    <w:p w14:paraId="3893C6D3" w14:textId="5E4B2103" w:rsidR="000F4AED" w:rsidRPr="000F4AED" w:rsidRDefault="000F4AED" w:rsidP="000F4AED">
      <w:pPr>
        <w:rPr>
          <w:rFonts w:ascii="仿宋" w:eastAsia="仿宋" w:hAnsi="仿宋" w:hint="eastAsia"/>
          <w:sz w:val="28"/>
          <w:szCs w:val="28"/>
        </w:rPr>
      </w:pPr>
      <w:r w:rsidRPr="000F4AED">
        <w:rPr>
          <w:rFonts w:ascii="仿宋" w:eastAsia="仿宋" w:hAnsi="仿宋" w:hint="eastAsia"/>
          <w:sz w:val="28"/>
          <w:szCs w:val="28"/>
        </w:rPr>
        <w:t xml:space="preserve">　　每</w:t>
      </w:r>
      <w:r w:rsidRPr="000F4AED">
        <w:rPr>
          <w:rFonts w:ascii="仿宋" w:eastAsia="仿宋" w:hAnsi="仿宋"/>
          <w:sz w:val="28"/>
          <w:szCs w:val="28"/>
        </w:rPr>
        <w:t>1000g中药饮片含黄曲霉毒素G2、黄曲霉毒素G1、黄曲霉毒素B2和黄曲霉毒素B1的总量不得过10μg；</w:t>
      </w:r>
    </w:p>
    <w:p w14:paraId="51B9538D" w14:textId="033E5B8B" w:rsidR="000F4AED" w:rsidRPr="000F4AED" w:rsidRDefault="000F4AED" w:rsidP="000F4AED">
      <w:pPr>
        <w:rPr>
          <w:rFonts w:ascii="仿宋" w:eastAsia="仿宋" w:hAnsi="仿宋" w:hint="eastAsia"/>
          <w:sz w:val="28"/>
          <w:szCs w:val="28"/>
        </w:rPr>
      </w:pPr>
      <w:r w:rsidRPr="000F4AED">
        <w:rPr>
          <w:rFonts w:ascii="仿宋" w:eastAsia="仿宋" w:hAnsi="仿宋" w:hint="eastAsia"/>
          <w:sz w:val="28"/>
          <w:szCs w:val="28"/>
        </w:rPr>
        <w:t xml:space="preserve">　　每</w:t>
      </w:r>
      <w:r w:rsidRPr="000F4AED">
        <w:rPr>
          <w:rFonts w:ascii="仿宋" w:eastAsia="仿宋" w:hAnsi="仿宋"/>
          <w:sz w:val="28"/>
          <w:szCs w:val="28"/>
        </w:rPr>
        <w:t>1000g中药饮片含玉米</w:t>
      </w:r>
      <w:proofErr w:type="gramStart"/>
      <w:r w:rsidRPr="000F4AED">
        <w:rPr>
          <w:rFonts w:ascii="仿宋" w:eastAsia="仿宋" w:hAnsi="仿宋"/>
          <w:sz w:val="28"/>
          <w:szCs w:val="28"/>
        </w:rPr>
        <w:t>赤</w:t>
      </w:r>
      <w:proofErr w:type="gramEnd"/>
      <w:r w:rsidRPr="000F4AED">
        <w:rPr>
          <w:rFonts w:ascii="仿宋" w:eastAsia="仿宋" w:hAnsi="仿宋"/>
          <w:sz w:val="28"/>
          <w:szCs w:val="28"/>
        </w:rPr>
        <w:t>霉烯</w:t>
      </w:r>
      <w:proofErr w:type="gramStart"/>
      <w:r w:rsidRPr="000F4AED">
        <w:rPr>
          <w:rFonts w:ascii="仿宋" w:eastAsia="仿宋" w:hAnsi="仿宋"/>
          <w:sz w:val="28"/>
          <w:szCs w:val="28"/>
        </w:rPr>
        <w:t>酮不得</w:t>
      </w:r>
      <w:proofErr w:type="gramEnd"/>
      <w:r w:rsidRPr="000F4AED">
        <w:rPr>
          <w:rFonts w:ascii="仿宋" w:eastAsia="仿宋" w:hAnsi="仿宋"/>
          <w:sz w:val="28"/>
          <w:szCs w:val="28"/>
        </w:rPr>
        <w:t>过500μg。</w:t>
      </w:r>
    </w:p>
    <w:p w14:paraId="6B9ACFAC" w14:textId="0A4A82BF" w:rsidR="000F4AED" w:rsidRPr="000F4AED" w:rsidRDefault="000F4AED" w:rsidP="000F4AED">
      <w:pPr>
        <w:rPr>
          <w:rFonts w:ascii="仿宋" w:eastAsia="仿宋" w:hAnsi="仿宋" w:hint="eastAsia"/>
          <w:sz w:val="28"/>
          <w:szCs w:val="28"/>
        </w:rPr>
      </w:pPr>
      <w:r w:rsidRPr="000F4AED">
        <w:rPr>
          <w:rFonts w:ascii="仿宋" w:eastAsia="仿宋" w:hAnsi="仿宋" w:hint="eastAsia"/>
          <w:sz w:val="28"/>
          <w:szCs w:val="28"/>
        </w:rPr>
        <w:t xml:space="preserve">　　第七条</w:t>
      </w:r>
      <w:r w:rsidRPr="000F4AED">
        <w:rPr>
          <w:rFonts w:ascii="仿宋" w:eastAsia="仿宋" w:hAnsi="仿宋"/>
          <w:sz w:val="28"/>
          <w:szCs w:val="28"/>
        </w:rPr>
        <w:t xml:space="preserve"> 中药饮片的灰分项不符合药品标准规定，但存在以下情形之一的，可以认定为尚不影响中药饮片的安全性、有效性：</w:t>
      </w:r>
    </w:p>
    <w:p w14:paraId="6F09C8D3" w14:textId="6786830C" w:rsidR="000F4AED" w:rsidRPr="000F4AED" w:rsidRDefault="000F4AED" w:rsidP="000F4AED">
      <w:pPr>
        <w:rPr>
          <w:rFonts w:ascii="仿宋" w:eastAsia="仿宋" w:hAnsi="仿宋" w:hint="eastAsia"/>
          <w:sz w:val="28"/>
          <w:szCs w:val="28"/>
        </w:rPr>
      </w:pPr>
      <w:r w:rsidRPr="000F4AED">
        <w:rPr>
          <w:rFonts w:ascii="仿宋" w:eastAsia="仿宋" w:hAnsi="仿宋" w:hint="eastAsia"/>
          <w:sz w:val="28"/>
          <w:szCs w:val="28"/>
        </w:rPr>
        <w:t xml:space="preserve">　　（一）总灰分、酸不溶性灰分检查项超出药品标准规定限度的</w:t>
      </w:r>
      <w:r w:rsidRPr="000F4AED">
        <w:rPr>
          <w:rFonts w:ascii="仿宋" w:eastAsia="仿宋" w:hAnsi="仿宋"/>
          <w:sz w:val="28"/>
          <w:szCs w:val="28"/>
        </w:rPr>
        <w:t>20%之内（含20%）；</w:t>
      </w:r>
    </w:p>
    <w:p w14:paraId="3678508C" w14:textId="2E5E53E5" w:rsidR="000F4AED" w:rsidRPr="000F4AED" w:rsidRDefault="000F4AED" w:rsidP="000F4AED">
      <w:pPr>
        <w:rPr>
          <w:rFonts w:ascii="仿宋" w:eastAsia="仿宋" w:hAnsi="仿宋" w:hint="eastAsia"/>
          <w:sz w:val="28"/>
          <w:szCs w:val="28"/>
        </w:rPr>
      </w:pPr>
      <w:r w:rsidRPr="000F4AED">
        <w:rPr>
          <w:rFonts w:ascii="仿宋" w:eastAsia="仿宋" w:hAnsi="仿宋" w:hint="eastAsia"/>
          <w:sz w:val="28"/>
          <w:szCs w:val="28"/>
        </w:rPr>
        <w:t xml:space="preserve">　　（二）总灰分、酸不溶性灰分检查项超出药品标准规定限度的</w:t>
      </w:r>
      <w:r w:rsidRPr="000F4AED">
        <w:rPr>
          <w:rFonts w:ascii="仿宋" w:eastAsia="仿宋" w:hAnsi="仿宋"/>
          <w:sz w:val="28"/>
          <w:szCs w:val="28"/>
        </w:rPr>
        <w:t>20%～40%（含40%），属于动物类、树脂类、根皮类或原药材为粉末状（如海金沙、蒲黄）等杂质不易清除的，且不存在人为增重因素的。</w:t>
      </w:r>
    </w:p>
    <w:p w14:paraId="44D208CB" w14:textId="73C53C00" w:rsidR="000F4AED" w:rsidRPr="000F4AED" w:rsidRDefault="000F4AED" w:rsidP="000F4AED">
      <w:pPr>
        <w:rPr>
          <w:rFonts w:ascii="仿宋" w:eastAsia="仿宋" w:hAnsi="仿宋" w:hint="eastAsia"/>
          <w:sz w:val="28"/>
          <w:szCs w:val="28"/>
        </w:rPr>
      </w:pPr>
      <w:r w:rsidRPr="000F4AED">
        <w:rPr>
          <w:rFonts w:ascii="仿宋" w:eastAsia="仿宋" w:hAnsi="仿宋" w:hint="eastAsia"/>
          <w:sz w:val="28"/>
          <w:szCs w:val="28"/>
        </w:rPr>
        <w:t xml:space="preserve">　　第八条</w:t>
      </w:r>
      <w:r w:rsidRPr="000F4AED">
        <w:rPr>
          <w:rFonts w:ascii="仿宋" w:eastAsia="仿宋" w:hAnsi="仿宋"/>
          <w:sz w:val="28"/>
          <w:szCs w:val="28"/>
        </w:rPr>
        <w:t xml:space="preserve"> 中药饮片的杂质项不符合药品标准规定，但存在以下情形之一的，可以认定为尚不影响中药饮片的有效性、安全性：</w:t>
      </w:r>
    </w:p>
    <w:p w14:paraId="759F1409" w14:textId="709BB499" w:rsidR="000F4AED" w:rsidRPr="000F4AED" w:rsidRDefault="000F4AED" w:rsidP="000F4AED">
      <w:pPr>
        <w:rPr>
          <w:rFonts w:ascii="仿宋" w:eastAsia="仿宋" w:hAnsi="仿宋" w:hint="eastAsia"/>
          <w:sz w:val="28"/>
          <w:szCs w:val="28"/>
        </w:rPr>
      </w:pPr>
      <w:r w:rsidRPr="000F4AED">
        <w:rPr>
          <w:rFonts w:ascii="仿宋" w:eastAsia="仿宋" w:hAnsi="仿宋" w:hint="eastAsia"/>
          <w:sz w:val="28"/>
          <w:szCs w:val="28"/>
        </w:rPr>
        <w:lastRenderedPageBreak/>
        <w:t xml:space="preserve">　　（一）超出药品标准正文规定限度</w:t>
      </w:r>
      <w:r w:rsidRPr="000F4AED">
        <w:rPr>
          <w:rFonts w:ascii="仿宋" w:eastAsia="仿宋" w:hAnsi="仿宋"/>
          <w:sz w:val="28"/>
          <w:szCs w:val="28"/>
        </w:rPr>
        <w:t>30%之内（含30%）的；</w:t>
      </w:r>
    </w:p>
    <w:p w14:paraId="446D485D" w14:textId="206C414D" w:rsidR="000F4AED" w:rsidRPr="000F4AED" w:rsidRDefault="000F4AED" w:rsidP="000F4AED">
      <w:pPr>
        <w:rPr>
          <w:rFonts w:ascii="仿宋" w:eastAsia="仿宋" w:hAnsi="仿宋" w:hint="eastAsia"/>
          <w:sz w:val="28"/>
          <w:szCs w:val="28"/>
        </w:rPr>
      </w:pPr>
      <w:r w:rsidRPr="000F4AED">
        <w:rPr>
          <w:rFonts w:ascii="仿宋" w:eastAsia="仿宋" w:hAnsi="仿宋" w:hint="eastAsia"/>
          <w:sz w:val="28"/>
          <w:szCs w:val="28"/>
        </w:rPr>
        <w:t xml:space="preserve">　　（二）药品标准正文未规定杂质项限度，但按《中国药典》药材和饮片检定通则“药屑及杂质通常不得过</w:t>
      </w:r>
      <w:r w:rsidRPr="000F4AED">
        <w:rPr>
          <w:rFonts w:ascii="仿宋" w:eastAsia="仿宋" w:hAnsi="仿宋"/>
          <w:sz w:val="28"/>
          <w:szCs w:val="28"/>
        </w:rPr>
        <w:t>3%”的限度出具不符合药品标准规定的结果时，</w:t>
      </w:r>
      <w:proofErr w:type="gramStart"/>
      <w:r w:rsidRPr="000F4AED">
        <w:rPr>
          <w:rFonts w:ascii="仿宋" w:eastAsia="仿宋" w:hAnsi="仿宋"/>
          <w:sz w:val="28"/>
          <w:szCs w:val="28"/>
        </w:rPr>
        <w:t>基原与</w:t>
      </w:r>
      <w:proofErr w:type="gramEnd"/>
      <w:r w:rsidRPr="000F4AED">
        <w:rPr>
          <w:rFonts w:ascii="仿宋" w:eastAsia="仿宋" w:hAnsi="仿宋"/>
          <w:sz w:val="28"/>
          <w:szCs w:val="28"/>
        </w:rPr>
        <w:t>规定不同的其他物种或者无机杂质的实际测定结果不超过5%（含5%）、</w:t>
      </w:r>
      <w:proofErr w:type="gramStart"/>
      <w:r w:rsidRPr="000F4AED">
        <w:rPr>
          <w:rFonts w:ascii="仿宋" w:eastAsia="仿宋" w:hAnsi="仿宋"/>
          <w:sz w:val="28"/>
          <w:szCs w:val="28"/>
        </w:rPr>
        <w:t>药屑或者</w:t>
      </w:r>
      <w:proofErr w:type="gramEnd"/>
      <w:r w:rsidRPr="000F4AED">
        <w:rPr>
          <w:rFonts w:ascii="仿宋" w:eastAsia="仿宋" w:hAnsi="仿宋"/>
          <w:sz w:val="28"/>
          <w:szCs w:val="28"/>
        </w:rPr>
        <w:t>其他药用部位等为主计入杂质的实际测定结果不超过10%（含10%）。</w:t>
      </w:r>
    </w:p>
    <w:p w14:paraId="0B1BF649" w14:textId="7411FA37" w:rsidR="000F4AED" w:rsidRPr="000F4AED" w:rsidRDefault="000F4AED" w:rsidP="000F4AED">
      <w:pPr>
        <w:rPr>
          <w:rFonts w:ascii="仿宋" w:eastAsia="仿宋" w:hAnsi="仿宋" w:hint="eastAsia"/>
          <w:sz w:val="28"/>
          <w:szCs w:val="28"/>
        </w:rPr>
      </w:pPr>
      <w:r w:rsidRPr="000F4AED">
        <w:rPr>
          <w:rFonts w:ascii="仿宋" w:eastAsia="仿宋" w:hAnsi="仿宋" w:hint="eastAsia"/>
          <w:sz w:val="28"/>
          <w:szCs w:val="28"/>
        </w:rPr>
        <w:t xml:space="preserve">　　第九条</w:t>
      </w:r>
      <w:r w:rsidRPr="000F4AED">
        <w:rPr>
          <w:rFonts w:ascii="仿宋" w:eastAsia="仿宋" w:hAnsi="仿宋"/>
          <w:sz w:val="28"/>
          <w:szCs w:val="28"/>
        </w:rPr>
        <w:t xml:space="preserve"> 上述规定中超出药品标准规定限度的百分比值计算方法为：（药品检验报告实际值-药品标准规定限度值）/药品标准规定限度值×100%（结果以</w:t>
      </w:r>
      <w:proofErr w:type="gramStart"/>
      <w:r w:rsidRPr="000F4AED">
        <w:rPr>
          <w:rFonts w:ascii="仿宋" w:eastAsia="仿宋" w:hAnsi="仿宋"/>
          <w:sz w:val="28"/>
          <w:szCs w:val="28"/>
        </w:rPr>
        <w:t>四舍五入修约取</w:t>
      </w:r>
      <w:proofErr w:type="gramEnd"/>
      <w:r w:rsidRPr="000F4AED">
        <w:rPr>
          <w:rFonts w:ascii="仿宋" w:eastAsia="仿宋" w:hAnsi="仿宋"/>
          <w:sz w:val="28"/>
          <w:szCs w:val="28"/>
        </w:rPr>
        <w:t>整）。</w:t>
      </w:r>
    </w:p>
    <w:p w14:paraId="5F50857E" w14:textId="70B9089D" w:rsidR="000F4AED" w:rsidRPr="000F4AED" w:rsidRDefault="000F4AED" w:rsidP="000F4AED">
      <w:pPr>
        <w:rPr>
          <w:rFonts w:ascii="仿宋" w:eastAsia="仿宋" w:hAnsi="仿宋" w:hint="eastAsia"/>
          <w:sz w:val="28"/>
          <w:szCs w:val="28"/>
        </w:rPr>
      </w:pPr>
      <w:r w:rsidRPr="000F4AED">
        <w:rPr>
          <w:rFonts w:ascii="仿宋" w:eastAsia="仿宋" w:hAnsi="仿宋" w:hint="eastAsia"/>
          <w:sz w:val="28"/>
          <w:szCs w:val="28"/>
        </w:rPr>
        <w:t xml:space="preserve">　　第十条</w:t>
      </w:r>
      <w:r w:rsidRPr="000F4AED">
        <w:rPr>
          <w:rFonts w:ascii="仿宋" w:eastAsia="仿宋" w:hAnsi="仿宋"/>
          <w:sz w:val="28"/>
          <w:szCs w:val="28"/>
        </w:rPr>
        <w:t xml:space="preserve"> 对同时存在多项不符合药品标准的中药饮片，只要其中有一项被认定为影响安全性或有效性，即使其他项目均被认定为不影响其安全性、有效性，执法人员</w:t>
      </w:r>
      <w:proofErr w:type="gramStart"/>
      <w:r w:rsidRPr="000F4AED">
        <w:rPr>
          <w:rFonts w:ascii="仿宋" w:eastAsia="仿宋" w:hAnsi="仿宋"/>
          <w:sz w:val="28"/>
          <w:szCs w:val="28"/>
        </w:rPr>
        <w:t>亦应当</w:t>
      </w:r>
      <w:proofErr w:type="gramEnd"/>
      <w:r w:rsidRPr="000F4AED">
        <w:rPr>
          <w:rFonts w:ascii="仿宋" w:eastAsia="仿宋" w:hAnsi="仿宋"/>
          <w:sz w:val="28"/>
          <w:szCs w:val="28"/>
        </w:rPr>
        <w:t>将此情形认定为影响安全性或有效性。</w:t>
      </w:r>
    </w:p>
    <w:p w14:paraId="32128F76" w14:textId="058C59F6" w:rsidR="000F4AED" w:rsidRPr="000F4AED" w:rsidRDefault="000F4AED" w:rsidP="000F4AED">
      <w:pPr>
        <w:rPr>
          <w:rFonts w:ascii="仿宋" w:eastAsia="仿宋" w:hAnsi="仿宋" w:hint="eastAsia"/>
          <w:sz w:val="28"/>
          <w:szCs w:val="28"/>
        </w:rPr>
      </w:pPr>
      <w:r w:rsidRPr="000F4AED">
        <w:rPr>
          <w:rFonts w:ascii="仿宋" w:eastAsia="仿宋" w:hAnsi="仿宋" w:hint="eastAsia"/>
          <w:sz w:val="28"/>
          <w:szCs w:val="28"/>
        </w:rPr>
        <w:t xml:space="preserve">　　第十一条</w:t>
      </w:r>
      <w:r w:rsidRPr="000F4AED">
        <w:rPr>
          <w:rFonts w:ascii="仿宋" w:eastAsia="仿宋" w:hAnsi="仿宋"/>
          <w:sz w:val="28"/>
          <w:szCs w:val="28"/>
        </w:rPr>
        <w:t xml:space="preserve"> 对一些特殊品种难以认定、企业对认定结果有异议或本指导原则未涉及的其他情形，执法人员可以组织有关专家参照本指导原则精神进行认定。</w:t>
      </w:r>
    </w:p>
    <w:p w14:paraId="32DF5D10" w14:textId="7463EDA2" w:rsidR="000F4AED" w:rsidRPr="000F4AED" w:rsidRDefault="000F4AED" w:rsidP="000F4AED">
      <w:pPr>
        <w:rPr>
          <w:rFonts w:ascii="仿宋" w:eastAsia="仿宋" w:hAnsi="仿宋" w:hint="eastAsia"/>
          <w:sz w:val="28"/>
          <w:szCs w:val="28"/>
        </w:rPr>
      </w:pPr>
      <w:r w:rsidRPr="000F4AED">
        <w:rPr>
          <w:rFonts w:ascii="仿宋" w:eastAsia="仿宋" w:hAnsi="仿宋" w:hint="eastAsia"/>
          <w:sz w:val="28"/>
          <w:szCs w:val="28"/>
        </w:rPr>
        <w:t xml:space="preserve">　　第十二条</w:t>
      </w:r>
      <w:r w:rsidRPr="000F4AED">
        <w:rPr>
          <w:rFonts w:ascii="仿宋" w:eastAsia="仿宋" w:hAnsi="仿宋"/>
          <w:sz w:val="28"/>
          <w:szCs w:val="28"/>
        </w:rPr>
        <w:t xml:space="preserve"> 对于性状、水分、灰分、杂质不符合药品标准且已被认定为尚不影响安全性、有效性的中药饮片，生产企业可以召回后进行净制、切制、干燥等返工处理，检验合格后方可销售使用。</w:t>
      </w:r>
    </w:p>
    <w:p w14:paraId="3E021025" w14:textId="77777777" w:rsidR="000F4AED" w:rsidRPr="000F4AED" w:rsidRDefault="000F4AED" w:rsidP="000F4AED">
      <w:pPr>
        <w:rPr>
          <w:rFonts w:ascii="仿宋" w:eastAsia="仿宋" w:hAnsi="仿宋"/>
          <w:sz w:val="28"/>
          <w:szCs w:val="28"/>
        </w:rPr>
      </w:pPr>
      <w:r w:rsidRPr="000F4AED">
        <w:rPr>
          <w:rFonts w:ascii="仿宋" w:eastAsia="仿宋" w:hAnsi="仿宋" w:hint="eastAsia"/>
          <w:sz w:val="28"/>
          <w:szCs w:val="28"/>
        </w:rPr>
        <w:t xml:space="preserve">　　第十三条</w:t>
      </w:r>
      <w:r w:rsidRPr="000F4AED">
        <w:rPr>
          <w:rFonts w:ascii="仿宋" w:eastAsia="仿宋" w:hAnsi="仿宋"/>
          <w:sz w:val="28"/>
          <w:szCs w:val="28"/>
        </w:rPr>
        <w:t xml:space="preserve"> 本指导原则自2021年8月1日起施行，有效期三年，由广东省药品监督管理局负责解释。</w:t>
      </w:r>
    </w:p>
    <w:p w14:paraId="2EB2E191" w14:textId="77777777" w:rsidR="00E13F2D" w:rsidRPr="000F4AED" w:rsidRDefault="00E13F2D">
      <w:pPr>
        <w:rPr>
          <w:rFonts w:ascii="仿宋" w:eastAsia="仿宋" w:hAnsi="仿宋"/>
          <w:sz w:val="28"/>
          <w:szCs w:val="28"/>
        </w:rPr>
      </w:pPr>
    </w:p>
    <w:sectPr w:rsidR="00E13F2D" w:rsidRPr="000F4A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ED"/>
    <w:rsid w:val="000F4AED"/>
    <w:rsid w:val="00E13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35659"/>
  <w15:chartTrackingRefBased/>
  <w15:docId w15:val="{4D12798B-329A-4EA5-97AD-AF199C00D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616977">
      <w:bodyDiv w:val="1"/>
      <w:marLeft w:val="0"/>
      <w:marRight w:val="0"/>
      <w:marTop w:val="0"/>
      <w:marBottom w:val="0"/>
      <w:divBdr>
        <w:top w:val="none" w:sz="0" w:space="0" w:color="auto"/>
        <w:left w:val="none" w:sz="0" w:space="0" w:color="auto"/>
        <w:bottom w:val="none" w:sz="0" w:space="0" w:color="auto"/>
        <w:right w:val="none" w:sz="0" w:space="0" w:color="auto"/>
      </w:divBdr>
      <w:divsChild>
        <w:div w:id="1613397060">
          <w:marLeft w:val="0"/>
          <w:marRight w:val="0"/>
          <w:marTop w:val="0"/>
          <w:marBottom w:val="0"/>
          <w:divBdr>
            <w:top w:val="none" w:sz="0" w:space="0" w:color="auto"/>
            <w:left w:val="none" w:sz="0" w:space="0" w:color="auto"/>
            <w:bottom w:val="none" w:sz="0" w:space="0" w:color="auto"/>
            <w:right w:val="none" w:sz="0" w:space="0" w:color="auto"/>
          </w:divBdr>
          <w:divsChild>
            <w:div w:id="1557088010">
              <w:marLeft w:val="0"/>
              <w:marRight w:val="0"/>
              <w:marTop w:val="0"/>
              <w:marBottom w:val="0"/>
              <w:divBdr>
                <w:top w:val="none" w:sz="0" w:space="0" w:color="auto"/>
                <w:left w:val="none" w:sz="0" w:space="0" w:color="auto"/>
                <w:bottom w:val="none" w:sz="0" w:space="0" w:color="auto"/>
                <w:right w:val="none" w:sz="0" w:space="0" w:color="auto"/>
              </w:divBdr>
            </w:div>
            <w:div w:id="273942904">
              <w:marLeft w:val="0"/>
              <w:marRight w:val="0"/>
              <w:marTop w:val="0"/>
              <w:marBottom w:val="0"/>
              <w:divBdr>
                <w:top w:val="none" w:sz="0" w:space="0" w:color="auto"/>
                <w:left w:val="none" w:sz="0" w:space="0" w:color="auto"/>
                <w:bottom w:val="none" w:sz="0" w:space="0" w:color="auto"/>
                <w:right w:val="none" w:sz="0" w:space="0" w:color="auto"/>
              </w:divBdr>
            </w:div>
            <w:div w:id="978800758">
              <w:marLeft w:val="0"/>
              <w:marRight w:val="0"/>
              <w:marTop w:val="0"/>
              <w:marBottom w:val="0"/>
              <w:divBdr>
                <w:top w:val="none" w:sz="0" w:space="0" w:color="auto"/>
                <w:left w:val="none" w:sz="0" w:space="0" w:color="auto"/>
                <w:bottom w:val="none" w:sz="0" w:space="0" w:color="auto"/>
                <w:right w:val="none" w:sz="0" w:space="0" w:color="auto"/>
              </w:divBdr>
            </w:div>
          </w:divsChild>
        </w:div>
        <w:div w:id="306981454">
          <w:marLeft w:val="0"/>
          <w:marRight w:val="0"/>
          <w:marTop w:val="0"/>
          <w:marBottom w:val="0"/>
          <w:divBdr>
            <w:top w:val="none" w:sz="0" w:space="0" w:color="auto"/>
            <w:left w:val="none" w:sz="0" w:space="0" w:color="auto"/>
            <w:bottom w:val="none" w:sz="0" w:space="0" w:color="auto"/>
            <w:right w:val="none" w:sz="0" w:space="0" w:color="auto"/>
          </w:divBdr>
          <w:divsChild>
            <w:div w:id="192497993">
              <w:marLeft w:val="0"/>
              <w:marRight w:val="0"/>
              <w:marTop w:val="0"/>
              <w:marBottom w:val="0"/>
              <w:divBdr>
                <w:top w:val="none" w:sz="0" w:space="0" w:color="auto"/>
                <w:left w:val="none" w:sz="0" w:space="0" w:color="auto"/>
                <w:bottom w:val="none" w:sz="0" w:space="0" w:color="auto"/>
                <w:right w:val="none" w:sz="0" w:space="0" w:color="auto"/>
              </w:divBdr>
              <w:divsChild>
                <w:div w:id="20795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8612">
          <w:marLeft w:val="0"/>
          <w:marRight w:val="0"/>
          <w:marTop w:val="0"/>
          <w:marBottom w:val="0"/>
          <w:divBdr>
            <w:top w:val="none" w:sz="0" w:space="0" w:color="auto"/>
            <w:left w:val="none" w:sz="0" w:space="0" w:color="auto"/>
            <w:bottom w:val="none" w:sz="0" w:space="0" w:color="auto"/>
            <w:right w:val="none" w:sz="0" w:space="0" w:color="auto"/>
          </w:divBdr>
        </w:div>
        <w:div w:id="1724134471">
          <w:marLeft w:val="0"/>
          <w:marRight w:val="0"/>
          <w:marTop w:val="300"/>
          <w:marBottom w:val="300"/>
          <w:divBdr>
            <w:top w:val="none" w:sz="0" w:space="0" w:color="auto"/>
            <w:left w:val="none" w:sz="0" w:space="0" w:color="auto"/>
            <w:bottom w:val="none" w:sz="0" w:space="0" w:color="auto"/>
            <w:right w:val="none" w:sz="0" w:space="0" w:color="auto"/>
          </w:divBdr>
          <w:divsChild>
            <w:div w:id="2139712748">
              <w:marLeft w:val="0"/>
              <w:marRight w:val="0"/>
              <w:marTop w:val="75"/>
              <w:marBottom w:val="0"/>
              <w:divBdr>
                <w:top w:val="none" w:sz="0" w:space="0" w:color="auto"/>
                <w:left w:val="none" w:sz="0" w:space="0" w:color="auto"/>
                <w:bottom w:val="dotted" w:sz="6" w:space="8" w:color="CCCCCC"/>
                <w:right w:val="none" w:sz="0" w:space="0" w:color="auto"/>
              </w:divBdr>
            </w:div>
            <w:div w:id="942684045">
              <w:marLeft w:val="0"/>
              <w:marRight w:val="0"/>
              <w:marTop w:val="0"/>
              <w:marBottom w:val="0"/>
              <w:divBdr>
                <w:top w:val="none" w:sz="0" w:space="0" w:color="auto"/>
                <w:left w:val="none" w:sz="0" w:space="0" w:color="auto"/>
                <w:bottom w:val="none" w:sz="0" w:space="0" w:color="auto"/>
                <w:right w:val="none" w:sz="0" w:space="0" w:color="auto"/>
              </w:divBdr>
            </w:div>
            <w:div w:id="1154836093">
              <w:marLeft w:val="0"/>
              <w:marRight w:val="0"/>
              <w:marTop w:val="0"/>
              <w:marBottom w:val="0"/>
              <w:divBdr>
                <w:top w:val="none" w:sz="0" w:space="0" w:color="auto"/>
                <w:left w:val="none" w:sz="0" w:space="0" w:color="auto"/>
                <w:bottom w:val="none" w:sz="0" w:space="0" w:color="auto"/>
                <w:right w:val="none" w:sz="0" w:space="0" w:color="auto"/>
              </w:divBdr>
              <w:divsChild>
                <w:div w:id="1032608425">
                  <w:marLeft w:val="0"/>
                  <w:marRight w:val="0"/>
                  <w:marTop w:val="0"/>
                  <w:marBottom w:val="0"/>
                  <w:divBdr>
                    <w:top w:val="none" w:sz="0" w:space="0" w:color="auto"/>
                    <w:left w:val="none" w:sz="0" w:space="0" w:color="auto"/>
                    <w:bottom w:val="none" w:sz="0" w:space="0" w:color="auto"/>
                    <w:right w:val="none" w:sz="0" w:space="0" w:color="auto"/>
                  </w:divBdr>
                </w:div>
                <w:div w:id="1690375985">
                  <w:marLeft w:val="0"/>
                  <w:marRight w:val="0"/>
                  <w:marTop w:val="0"/>
                  <w:marBottom w:val="0"/>
                  <w:divBdr>
                    <w:top w:val="none" w:sz="0" w:space="0" w:color="auto"/>
                    <w:left w:val="none" w:sz="0" w:space="0" w:color="auto"/>
                    <w:bottom w:val="none" w:sz="0" w:space="0" w:color="auto"/>
                    <w:right w:val="none" w:sz="0" w:space="0" w:color="auto"/>
                  </w:divBdr>
                  <w:divsChild>
                    <w:div w:id="7315390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7460609">
              <w:marLeft w:val="0"/>
              <w:marRight w:val="0"/>
              <w:marTop w:val="0"/>
              <w:marBottom w:val="0"/>
              <w:divBdr>
                <w:top w:val="none" w:sz="0" w:space="0" w:color="auto"/>
                <w:left w:val="none" w:sz="0" w:space="0" w:color="auto"/>
                <w:bottom w:val="none" w:sz="0" w:space="0" w:color="auto"/>
                <w:right w:val="none" w:sz="0" w:space="0" w:color="auto"/>
              </w:divBdr>
              <w:divsChild>
                <w:div w:id="17361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16065">
          <w:marLeft w:val="0"/>
          <w:marRight w:val="0"/>
          <w:marTop w:val="0"/>
          <w:marBottom w:val="0"/>
          <w:divBdr>
            <w:top w:val="none" w:sz="0" w:space="0" w:color="auto"/>
            <w:left w:val="none" w:sz="0" w:space="0" w:color="auto"/>
            <w:bottom w:val="none" w:sz="0" w:space="0" w:color="auto"/>
            <w:right w:val="none" w:sz="0" w:space="0" w:color="auto"/>
          </w:divBdr>
          <w:divsChild>
            <w:div w:id="563368312">
              <w:marLeft w:val="0"/>
              <w:marRight w:val="0"/>
              <w:marTop w:val="0"/>
              <w:marBottom w:val="0"/>
              <w:divBdr>
                <w:top w:val="none" w:sz="0" w:space="0" w:color="auto"/>
                <w:left w:val="none" w:sz="0" w:space="0" w:color="auto"/>
                <w:bottom w:val="none" w:sz="0" w:space="0" w:color="auto"/>
                <w:right w:val="none" w:sz="0" w:space="0" w:color="auto"/>
              </w:divBdr>
            </w:div>
          </w:divsChild>
        </w:div>
        <w:div w:id="1368678582">
          <w:marLeft w:val="0"/>
          <w:marRight w:val="0"/>
          <w:marTop w:val="0"/>
          <w:marBottom w:val="0"/>
          <w:divBdr>
            <w:top w:val="none" w:sz="0" w:space="0" w:color="auto"/>
            <w:left w:val="none" w:sz="0" w:space="0" w:color="auto"/>
            <w:bottom w:val="single" w:sz="6" w:space="8" w:color="CCCCCC"/>
            <w:right w:val="none" w:sz="0" w:space="0" w:color="auto"/>
          </w:divBdr>
        </w:div>
        <w:div w:id="702095375">
          <w:marLeft w:val="0"/>
          <w:marRight w:val="0"/>
          <w:marTop w:val="0"/>
          <w:marBottom w:val="0"/>
          <w:divBdr>
            <w:top w:val="none" w:sz="0" w:space="0" w:color="auto"/>
            <w:left w:val="none" w:sz="0" w:space="0" w:color="auto"/>
            <w:bottom w:val="none" w:sz="0" w:space="0" w:color="auto"/>
            <w:right w:val="none" w:sz="0" w:space="0" w:color="auto"/>
          </w:divBdr>
          <w:divsChild>
            <w:div w:id="10727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tianyao</dc:creator>
  <cp:keywords/>
  <dc:description/>
  <cp:lastModifiedBy>peng tianyao</cp:lastModifiedBy>
  <cp:revision>1</cp:revision>
  <dcterms:created xsi:type="dcterms:W3CDTF">2021-06-29T08:07:00Z</dcterms:created>
  <dcterms:modified xsi:type="dcterms:W3CDTF">2021-06-29T08:08:00Z</dcterms:modified>
</cp:coreProperties>
</file>