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广东省卫生健康委办公室关于公布住院医师规范化培训重点专业基地名单的通知</w:t>
      </w:r>
    </w:p>
    <w:p>
      <w:pPr>
        <w:widowControl/>
        <w:spacing w:line="450" w:lineRule="atLeast"/>
        <w:jc w:val="center"/>
        <w:rPr>
          <w:rFonts w:cs="宋体"/>
          <w:color w:val="000000"/>
          <w:kern w:val="0"/>
          <w:sz w:val="24"/>
          <w:szCs w:val="24"/>
        </w:rPr>
      </w:pPr>
      <w:r>
        <w:rPr>
          <w:rFonts w:cs="宋体"/>
          <w:color w:val="000000"/>
          <w:kern w:val="0"/>
          <w:sz w:val="24"/>
          <w:szCs w:val="24"/>
        </w:rPr>
        <w:t>粤卫办科教函〔2020〕34号</w:t>
      </w:r>
    </w:p>
    <w:p>
      <w:pPr>
        <w:widowControl/>
        <w:spacing w:line="450" w:lineRule="atLeast"/>
        <w:jc w:val="left"/>
        <w:rPr>
          <w:rFonts w:cs="宋体"/>
          <w:color w:val="000000"/>
          <w:kern w:val="0"/>
          <w:sz w:val="24"/>
          <w:szCs w:val="24"/>
        </w:rPr>
      </w:pP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各地级以上市卫生健康局（委），各有关医学院校，各住院医师规范化培训基地：</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根据《国家卫生健康委办公厅关于印发住院医师规范化培训重点专业基地遴选建设项目实施方案的通知》（国卫科教发〔2020〕6号，以下简称《方案》）、《国家卫生健康委科教司关于做好2020年度住院医师规范化培训重点专业基地遴选建设工作的通知》（国卫科教教育便函〔2020〕125号）要求，受国家卫生健康委科教司委托，中国医师协会遴选并公布了国家住培重点专业基地（西医）名单（含我省12个国家级西医住培专业基地，见附件）。</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参照国家做法，结合我省住培工作实际需要，我委同步遴选公示了全科、儿科、妇产科、麻醉科、精神科等5个专业20家省级住培重点专业基地（西医，见附件），经公示后现予以公布，并就做好重点专业基地建设工作提出如下意见：</w:t>
      </w:r>
    </w:p>
    <w:p>
      <w:pPr>
        <w:widowControl/>
        <w:spacing w:line="640" w:lineRule="atLeast"/>
        <w:rPr>
          <w:rFonts w:hint="eastAsia" w:ascii="仿宋" w:hAnsi="仿宋" w:eastAsia="仿宋" w:cs="宋体"/>
          <w:b/>
          <w:bCs/>
          <w:color w:val="484848"/>
          <w:kern w:val="0"/>
          <w:sz w:val="28"/>
          <w:szCs w:val="28"/>
        </w:rPr>
      </w:pPr>
      <w:r>
        <w:rPr>
          <w:rFonts w:hint="eastAsia" w:ascii="仿宋" w:hAnsi="仿宋" w:eastAsia="仿宋" w:cs="宋体"/>
          <w:b/>
          <w:bCs/>
          <w:color w:val="484848"/>
          <w:kern w:val="0"/>
          <w:sz w:val="28"/>
          <w:szCs w:val="28"/>
        </w:rPr>
        <w:t>　　一、加强组织领导</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各地（院校）各单位要高度重视，充分认识到重点专业</w:t>
      </w:r>
      <w:bookmarkStart w:id="0" w:name="_GoBack"/>
      <w:bookmarkEnd w:id="0"/>
      <w:r>
        <w:rPr>
          <w:rFonts w:hint="eastAsia" w:ascii="仿宋" w:hAnsi="仿宋" w:eastAsia="仿宋" w:cs="宋体"/>
          <w:color w:val="484848"/>
          <w:kern w:val="0"/>
          <w:sz w:val="28"/>
          <w:szCs w:val="28"/>
        </w:rPr>
        <w:t>基地建设工作是落实住培制度、加强住培内涵建设、提升住培质量的重点抓手，指导督促重点专业基地建设，确保按时保质完成建设任务。各重点专业基地所在培训基地要加强组织领导，将重点专业基地建设纳入住培工作中心任务来抓，切实落实培训基地一把手负责制，细化建设任务，落实责任和义务，确保责任到人。要以质量为核心，以待遇为保障，狠抓住院医师规范化培训制度，加强师资队伍建设，强化师资激励，充分发挥重点专业基地引领示范作用，带动住培高质量发展。</w:t>
      </w:r>
    </w:p>
    <w:p>
      <w:pPr>
        <w:widowControl/>
        <w:spacing w:line="640" w:lineRule="atLeast"/>
        <w:rPr>
          <w:rFonts w:hint="eastAsia" w:ascii="仿宋" w:hAnsi="仿宋" w:eastAsia="仿宋" w:cs="宋体"/>
          <w:b/>
          <w:bCs/>
          <w:color w:val="484848"/>
          <w:kern w:val="0"/>
          <w:sz w:val="28"/>
          <w:szCs w:val="28"/>
        </w:rPr>
      </w:pPr>
      <w:r>
        <w:rPr>
          <w:rFonts w:hint="eastAsia" w:ascii="仿宋" w:hAnsi="仿宋" w:eastAsia="仿宋" w:cs="宋体"/>
          <w:b/>
          <w:bCs/>
          <w:color w:val="484848"/>
          <w:kern w:val="0"/>
          <w:sz w:val="28"/>
          <w:szCs w:val="28"/>
        </w:rPr>
        <w:t>　　二、对标完成国家建设任务</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各重点专业基地所在培训基地要加大投入，高标准建设重点专业基地、临床技能中心及基层实践基地，要保障住培医师合理待遇，确保本专业基地面向社会招收的、外单位委培的和本单位同等条件住培医师薪酬待遇基本一致，鼓励多劳多得。各重点专业基地要按照《方案》要求，对标重点专业基地应当承担的责任和义务，加大紧缺人才招收培养力度，强化师资队伍建设，规范过程管理，严格出科考核、年度考核和结业考核，确保培训质量。同时要积极承担国家和省培训基地动态评估、结业考核等教育教学改革任务，促进区域均衡发展，积极开展毕业后医学教育研究，及时提交总结报告。</w:t>
      </w:r>
    </w:p>
    <w:p>
      <w:pPr>
        <w:widowControl/>
        <w:spacing w:line="640" w:lineRule="atLeast"/>
        <w:rPr>
          <w:rFonts w:hint="eastAsia" w:ascii="仿宋" w:hAnsi="仿宋" w:eastAsia="仿宋" w:cs="宋体"/>
          <w:b/>
          <w:bCs/>
          <w:color w:val="484848"/>
          <w:kern w:val="0"/>
          <w:sz w:val="28"/>
          <w:szCs w:val="28"/>
        </w:rPr>
      </w:pPr>
      <w:r>
        <w:rPr>
          <w:rFonts w:hint="eastAsia" w:ascii="仿宋" w:hAnsi="仿宋" w:eastAsia="仿宋" w:cs="宋体"/>
          <w:b/>
          <w:bCs/>
          <w:color w:val="484848"/>
          <w:kern w:val="0"/>
          <w:sz w:val="28"/>
          <w:szCs w:val="28"/>
        </w:rPr>
        <w:t>　　三、狠抓培训质量</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各重点专业基地要以培训质量为中心，以岗位胜任为导向，加强重点专业基地内涵建设，创新培训方式方法，严格按照国家培训标准完成所有培训内容，提高住培医师培训积极性和培训满意度。要狠抓师资队伍建设，强化激励机制并抓好落实，加强国内外交流培训，提升本专业基地师资水平，提高师资队伍带教积极性。</w:t>
      </w:r>
    </w:p>
    <w:p>
      <w:pPr>
        <w:widowControl/>
        <w:spacing w:line="640" w:lineRule="atLeast"/>
        <w:rPr>
          <w:rFonts w:hint="eastAsia" w:ascii="仿宋" w:hAnsi="仿宋" w:eastAsia="仿宋" w:cs="宋体"/>
          <w:b/>
          <w:bCs/>
          <w:color w:val="484848"/>
          <w:kern w:val="0"/>
          <w:sz w:val="28"/>
          <w:szCs w:val="28"/>
        </w:rPr>
      </w:pPr>
      <w:r>
        <w:rPr>
          <w:rFonts w:hint="eastAsia" w:ascii="仿宋" w:hAnsi="仿宋" w:eastAsia="仿宋" w:cs="宋体"/>
          <w:b/>
          <w:bCs/>
          <w:color w:val="484848"/>
          <w:kern w:val="0"/>
          <w:sz w:val="28"/>
          <w:szCs w:val="28"/>
        </w:rPr>
        <w:t>　　四、促进区域均衡发展</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各重点专业基地均纳入分专业骨干师资培训牵头单位，要充分发挥引领示范作用，积极承担省内专业骨干师资培训任务，牵头组织培训省内相应专业骨干师资；同时要牵头承担分专业结业技能考核任务，承担全省分专业结业技能考核工作。各重点专业基地要积极帮助国家贫困地区、革命老区、边疆民族地区及省域内其他薄弱地区提高本专业住院医师规范化培训水平，积极承担本专业住院医师规范化培训援疆、援藏等工作任务，促进住培工作区域均衡发展。</w:t>
      </w:r>
    </w:p>
    <w:p>
      <w:pPr>
        <w:widowControl/>
        <w:spacing w:line="640" w:lineRule="atLeast"/>
        <w:rPr>
          <w:rFonts w:hint="eastAsia" w:ascii="仿宋" w:hAnsi="仿宋" w:eastAsia="仿宋" w:cs="宋体"/>
          <w:b/>
          <w:bCs/>
          <w:color w:val="484848"/>
          <w:kern w:val="0"/>
          <w:sz w:val="28"/>
          <w:szCs w:val="28"/>
        </w:rPr>
      </w:pPr>
      <w:r>
        <w:rPr>
          <w:rFonts w:hint="eastAsia" w:ascii="仿宋" w:hAnsi="仿宋" w:eastAsia="仿宋" w:cs="宋体"/>
          <w:b/>
          <w:bCs/>
          <w:color w:val="484848"/>
          <w:kern w:val="0"/>
          <w:sz w:val="28"/>
          <w:szCs w:val="28"/>
        </w:rPr>
        <w:t>　　五、及时规范使用经费</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各重点专业基地要按照方案要求，加强项目管理，规范资金支出，严格执行各类财务规章制度和会计核算办法，确保资金“专款专用、专账核算”。要进一步加快资金支出进度，切实提高资金使用效益。2020年中央财政对每个国家重点专业基地补助100万元，经费用于加强管理人员、教学主任、教学秘书、指导医师、考官等教学能力培训，更新与添置毕业后医学教育教学和考核设施设备，加强毕业后医学教育相关交流合作，开展毕业后医学教育相关研究和探索实践等工作。</w:t>
      </w:r>
    </w:p>
    <w:p>
      <w:pPr>
        <w:widowControl/>
        <w:spacing w:line="640" w:lineRule="atLeast"/>
        <w:rPr>
          <w:rFonts w:hint="eastAsia" w:ascii="仿宋" w:hAnsi="仿宋" w:eastAsia="仿宋" w:cs="宋体"/>
          <w:b/>
          <w:bCs/>
          <w:color w:val="484848"/>
          <w:kern w:val="0"/>
          <w:sz w:val="28"/>
          <w:szCs w:val="28"/>
        </w:rPr>
      </w:pPr>
      <w:r>
        <w:rPr>
          <w:rFonts w:hint="eastAsia" w:ascii="仿宋" w:hAnsi="仿宋" w:eastAsia="仿宋" w:cs="宋体"/>
          <w:b/>
          <w:bCs/>
          <w:color w:val="484848"/>
          <w:kern w:val="0"/>
          <w:sz w:val="28"/>
          <w:szCs w:val="28"/>
        </w:rPr>
        <w:t>　　六、加强动态管理</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重点专业基地建设实行动态管理机制。我委委托省医师协会负责项目建设动态管理工作，强化对重点专业基地常态监管和绩效评估，对评估不合格的取消或提请国家取消其重点专业基地资格并予以公开通报。</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附件：国家和省级住培重点专业基地名单（西医，32家）</w:t>
      </w:r>
    </w:p>
    <w:p>
      <w:pPr>
        <w:widowControl/>
        <w:spacing w:line="640" w:lineRule="atLeast"/>
        <w:rPr>
          <w:rFonts w:hint="eastAsia" w:ascii="仿宋" w:hAnsi="仿宋" w:eastAsia="仿宋" w:cs="宋体"/>
          <w:color w:val="484848"/>
          <w:kern w:val="0"/>
          <w:sz w:val="28"/>
          <w:szCs w:val="28"/>
        </w:rPr>
      </w:pP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广东省卫生健康委办公室</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2020年11月4日</w:t>
      </w:r>
    </w:p>
    <w:p>
      <w:pPr>
        <w:widowControl/>
        <w:spacing w:line="640" w:lineRule="atLeast"/>
        <w:rPr>
          <w:rFonts w:hint="eastAsia" w:ascii="仿宋" w:hAnsi="仿宋" w:eastAsia="仿宋" w:cs="宋体"/>
          <w:color w:val="484848"/>
          <w:kern w:val="0"/>
          <w:sz w:val="28"/>
          <w:szCs w:val="28"/>
        </w:rPr>
      </w:pP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附件</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国家和省级住培重点专业基地名单（西医，共32家）</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全科：</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1.中山大学附属第一医院（国家级）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2.南方医科大学珠江医院（国家级）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3.广州医科大学附属第一医院（国家级）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4.中山大学附属第五医院（省级）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5.南方医科大学南方医院（省级）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6.北京大学深圳医院（省级）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7.香港大学深圳医院（省级）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8.佛山市第一人民医院（省级）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9.粤北人民医院（省级）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10.阳江市人民医院（省级）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儿科：</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1.中山大学附属第一医院（国家级）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2.广州市妇女儿童医疗中心（国家级）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3.南方医科大学珠江医院（省级）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4.汕头大学医学院第一附属医院（省级）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5.深圳市儿童医院（省级）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6.清远市人民医院（省级）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妇产科：</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1.中山大学附属第一医院（国家级）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2.中山大学孙逸仙纪念医院（国家级）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3.广州医科大学附属第三医院（国家级）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4.广东省妇幼保健院（省级）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5.广州市妇女儿童医疗中心（省级）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6.深圳市人民医院（省级）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麻醉科：</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1.中山大学附属第一医院（国家级）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2.中山大学附属第三医院（国家级）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3.南方医科大学南方医院（国家级）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4.南方医科大学珠江医院（省级）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5.汕头市中心医院（省级）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6.惠州市中心人民医院（省级）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精神科：</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1.广州医科大学附属脑科医院（国家级）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2.中山大学附属第三医院（省级）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3.南方医科大学南方医院（省级）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　　4.广东省人民医院（省级）</w:t>
      </w:r>
    </w:p>
    <w:p>
      <w:pPr>
        <w:widowControl/>
        <w:spacing w:line="640" w:lineRule="atLeast"/>
        <w:rPr>
          <w:rFonts w:hint="eastAsia" w:ascii="仿宋" w:hAnsi="仿宋" w:eastAsia="仿宋" w:cs="宋体"/>
          <w:color w:val="484848"/>
          <w:kern w:val="0"/>
          <w:sz w:val="28"/>
          <w:szCs w:val="28"/>
        </w:rPr>
      </w:pPr>
    </w:p>
    <w:p>
      <w:pPr>
        <w:widowControl/>
        <w:spacing w:line="640" w:lineRule="atLeast"/>
        <w:rPr>
          <w:rFonts w:hint="eastAsia" w:ascii="仿宋" w:hAnsi="仿宋" w:eastAsia="仿宋" w:cs="宋体"/>
          <w:color w:val="484848"/>
          <w:kern w:val="0"/>
          <w:sz w:val="28"/>
          <w:szCs w:val="28"/>
        </w:rPr>
      </w:pPr>
    </w:p>
    <w:p>
      <w:pPr>
        <w:widowControl/>
        <w:spacing w:line="640" w:lineRule="atLeast"/>
        <w:jc w:val="right"/>
        <w:rPr>
          <w:rFonts w:hint="eastAsia" w:ascii="仿宋" w:hAnsi="仿宋" w:eastAsia="仿宋" w:cs="宋体"/>
          <w:color w:val="484848"/>
          <w:kern w:val="0"/>
          <w:sz w:val="32"/>
          <w:szCs w:val="32"/>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i w:val="0"/>
          <w:caps w:val="0"/>
          <w:color w:val="333333"/>
          <w:spacing w:val="15"/>
          <w:sz w:val="22"/>
          <w:szCs w:val="22"/>
          <w:shd w:val="clear" w:fill="FFFFFF"/>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20B0604020202020204"/>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6029325</wp:posOffset>
              </wp:positionH>
              <wp:positionV relativeFrom="paragraph">
                <wp:posOffset>142875</wp:posOffset>
              </wp:positionV>
              <wp:extent cx="140335" cy="1936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033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4.75pt;margin-top:11.25pt;height:15.25pt;width:11.05pt;mso-position-horizontal-relative:margin;z-index:251662336;mso-width-relative:page;mso-height-relative:page;" filled="f" stroked="f" coordsize="21600,21600" o:gfxdata="UEsDBAoAAAAAAIdO4kAAAAAAAAAAAAAAAAAEAAAAZHJzL1BLAwQUAAAACACHTuJAT8Yn1dkAAAAJ&#10;AQAADwAAAGRycy9kb3ducmV2LnhtbE2Py07DMBBF90j8gzVI7KidQEsT4nTBY8ezBQl2TmySCHsc&#10;2U5a/p5hBavRaI7unFttDs6y2YQ4eJSQLQQwg63XA3YSXnd3Z2tgMSnUyno0Er5NhE19fFSpUvs9&#10;vph5mzpGIRhLJaFPaSw5j21vnIoLPxqk26cPTiVaQ8d1UHsKd5bnQqy4UwPSh16N5ro37dd2chLs&#10;ewz3jUgf8033kJ6f+PR2mz1KeXqSiStgyRzSHwy/+qQONTk1fkIdmZVQXBRLQiXkOU0CistsBayR&#10;sDwXwOuK/29Q/wBQSwMEFAAAAAgAh07iQFGk67QbAgAAEwQAAA4AAABkcnMvZTJvRG9jLnhtbK1T&#10;zY7TMBC+I/EOlu807ZYWWjVdlV0VIa3YlQri7Dp2Y8n2GNttUh4A3oATF+48V5+DsdN0EXBCXJyJ&#10;58/fN98srlujyUH4oMCWdDQYUiIsh0rZXUnfv1s/e0lJiMxWTIMVJT2KQK+XT58sGjcXV1CDroQn&#10;WMSGeeNKWsfo5kUReC0MCwNwwqJTgjcs4q/fFZVnDVY3urgaDqdFA75yHrgIAW9vOydd5vpSCh7v&#10;pQwiEl1SfFvMp8/nNp3FcsHmO89crfj5GewfXmGYstj0UuqWRUb2Xv1RyijuIYCMAw6mACkVFxkD&#10;ohkNf0OzqZkTGQuSE9yFpvD/yvK3hwdPVFXSGSWWGRzR6euX07cfp++fySzR07gwx6iNw7jYvoIW&#10;x9zfB7xMqFvpTfoiHoJ+JPp4IVe0kfCU9Hw4Hk8o4egazcbTF5NUpXhMdj7E1wIMSUZJPc4uU8oO&#10;dyF2oX1I6mVhrbTO89OWNCWdjifDnHDxYHFtsUeC0D01WbHdtmdcW6iOCMtDp4vg+Fph8zsW4gPz&#10;KAREguKO93hIDdgEzhYlNfhPf7tP8Tgf9FLSoLBKGj7umReU6DcWJ5dU2Bu+N7a9YffmBlCrI1wb&#10;x7OJCT7q3pQezAfU/Cp1QRezHHuVNPbmTezkjTvDxWqVg/bOq13dJaDuHIt3duN4atNRudpHkCqz&#10;nCjqeDkzh8rLczpvSZL2r/856nGX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Yn1dkAAAAJ&#10;AQAADwAAAAAAAAABACAAAAAiAAAAZHJzL2Rvd25yZXYueG1sUEsBAhQAFAAAAAgAh07iQFGk67Qb&#10;AgAAEwQAAA4AAAAAAAAAAQAgAAAAKAEAAGRycy9lMm9Eb2MueG1sUEsFBgAAAAAGAAYAWQEAALUF&#10;AAAAAA==&#10;">
              <v:fill on="f" focussize="0,0"/>
              <v:stroke on="f" weight="0.5pt"/>
              <v:imagedata o:title=""/>
              <o:lock v:ext="edit" aspectratio="f"/>
              <v:textbox inset="0mm,0mm,0mm,0mm">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1544320</wp:posOffset>
              </wp:positionH>
              <wp:positionV relativeFrom="page">
                <wp:posOffset>10065385</wp:posOffset>
              </wp:positionV>
              <wp:extent cx="4888230" cy="45910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lIns="0" tIns="0" rIns="0" bIns="0" upright="1"/>
                  </wps:wsp>
                </a:graphicData>
              </a:graphic>
            </wp:anchor>
          </w:drawing>
        </mc:Choice>
        <mc:Fallback>
          <w:pict>
            <v:shape id="_x0000_s1026" o:spid="_x0000_s1026" o:spt="202" type="#_x0000_t202" style="position:absolute;left:0pt;margin-left:121.6pt;margin-top:792.55pt;height:36.15pt;width:384.9pt;mso-position-horizontal-relative:page;mso-position-vertical-relative:page;mso-wrap-distance-bottom:0pt;mso-wrap-distance-left:9pt;mso-wrap-distance-right:9pt;mso-wrap-distance-top:0pt;z-index:251668480;mso-width-relative:page;mso-height-relative:page;" filled="f" stroked="f" coordsize="21600,21600" o:gfxdata="UEsDBAoAAAAAAIdO4kAAAAAAAAAAAAAAAAAEAAAAZHJzL1BLAwQUAAAACACHTuJAANL01NwAAAAO&#10;AQAADwAAAGRycy9kb3ducmV2LnhtbE2PzU7DMBCE70i8g7VI3KidtAklxKkQghMSIg0Hjk7sJlbj&#10;dYjdH96e7QluO5pPszPl5uxGdjRzsB4lJAsBzGDntcVewmfzercGFqJCrUaPRsKPCbCprq9KVWh/&#10;wtoct7FnFIKhUBKGGKeC89ANxqmw8JNB8nZ+diqSnHuuZ3WicDfyVIicO2WRPgxqMs+D6fbbg5Pw&#10;9IX1i/1+bz/qXW2b5kHgW76X8vYmEY/AojnHPxgu9ak6VNSp9QfUgY0S0tUyJZSMbJ0lwC6ISJa0&#10;r6Urz+5XwKuS/59R/QJQSwMEFAAAAAgAh07iQNdnJeigAQAAJAMAAA4AAABkcnMvZTJvRG9jLnht&#10;bK1SQW7bMBC8B+gfCN5rym7SuILlAEWQokDRBEj7AJoiLQIklyAZS/5A84Occsk97/I7uqQtJ2lv&#10;RS+r5e5qODPLxcVgDdnIEDW4hk4nFSXSCWi1Wzf054+r93NKYuKu5QacbOhWRnqxfHey6H0tZ9CB&#10;aWUgCOJi3fuGdin5mrEoOml5nICXDpsKguUJj2HN2sB7RLeGzarqI+shtD6AkDFi9XLfpMuCr5QU&#10;6VqpKBMxDUVuqcRQ4ipHtlzweh2477Q40OD/wMJy7fDSI9QlT5zcBf0XlNUiQASVJgIsA6W0kEUD&#10;qplWf6i57biXRQuaE/3Rpvj/YMX3zU0gum3oOSWOW1zR7uF+9/i8e/pFzrM9vY81Tt16nEvDZxhw&#10;zWM9YjGrHlSw+Yt6CPbR6O3RXDkkIrB4Op/PZx+wJbB3evZpWp1lGPbytw8xfZFgSU4aGnB5xVO+&#10;+RbTfnQcyZc5uNLGlAUa96aAmLnCMvU9xZylYTUc9Kyg3aIc89WhlflZjEkYk9WY3Pmg1x3SKaIL&#10;JK6i8D48m7zr1+dy8cvj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NL01NwAAAAOAQAADwAA&#10;AAAAAAABACAAAAAiAAAAZHJzL2Rvd25yZXYueG1sUEsBAhQAFAAAAAgAh07iQNdnJeigAQAAJAMA&#10;AA4AAAAAAAAAAQAgAAAAKwEAAGRycy9lMm9Eb2MueG1sUEsFBgAAAAAGAAYAWQEAAD0FA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61312" behindDoc="1" locked="0" layoutInCell="1" allowOverlap="1">
              <wp:simplePos x="0" y="0"/>
              <wp:positionH relativeFrom="page">
                <wp:posOffset>599440</wp:posOffset>
              </wp:positionH>
              <wp:positionV relativeFrom="page">
                <wp:posOffset>9983470</wp:posOffset>
              </wp:positionV>
              <wp:extent cx="6859270" cy="363220"/>
              <wp:effectExtent l="0" t="1905" r="17780" b="15875"/>
              <wp:wrapNone/>
              <wp:docPr id="6" name="组合 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3" name="矩形 3"/>
                      <wps:cNvSpPr/>
                      <wps:spPr>
                        <a:xfrm>
                          <a:off x="11055" y="15745"/>
                          <a:ext cx="766" cy="564"/>
                        </a:xfrm>
                        <a:prstGeom prst="rect">
                          <a:avLst/>
                        </a:prstGeom>
                        <a:solidFill>
                          <a:srgbClr val="933634"/>
                        </a:solidFill>
                        <a:ln>
                          <a:noFill/>
                        </a:ln>
                      </wps:spPr>
                      <wps:bodyPr upright="1"/>
                    </wps:wsp>
                    <wps:wsp>
                      <wps:cNvPr id="4"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2pt;margin-top:786.1pt;height:28.6pt;width:540.1pt;mso-position-horizontal-relative:page;mso-position-vertical-relative:page;z-index:-251655168;mso-width-relative:page;mso-height-relative:page;" coordorigin="1019,15737" coordsize="10802,572" o:gfxdata="UEsDBAoAAAAAAIdO4kAAAAAAAAAAAAAAAAAEAAAAZHJzL1BLAwQUAAAACACHTuJAIel/1dwAAAAN&#10;AQAADwAAAGRycy9kb3ducmV2LnhtbE2PTUvDQBCG74L/YRnBm91sTFMbsylS1FMRbAXxtk2mSWh2&#10;NmS3SfvvnZ70Nh8P7zyTr862EyMOvnWkQc0iEEilq1qqNXzt3h6eQPhgqDKdI9RwQQ+r4vYmN1nl&#10;JvrEcRtqwSHkM6OhCaHPpPRlg9b4meuReHdwgzWB26GW1WAmDredjKMolda0xBca0+O6wfK4PVkN&#10;75OZXh7V67g5HtaXn93843ujUOv7OxU9gwh4Dn8wXPVZHQp22rsTVV50GpZJwiTP54s4BnEl1CJJ&#10;Qey5SuNlArLI5f8vil9QSwMEFAAAAAgAh07iQCH1ok3VAgAAWAgAAA4AAABkcnMvZTJvRG9jLnht&#10;bNVWy24TMRTdI/EPlvd0HslMmlGTLpq2GwSVCh/gzngekse2bDeT7FmwQuyRQEICCYklO4T4mlI+&#10;g2vPo00KUlUkVLJw/Li+c+85596Zvf1VzdCSKl0JPsPBjo8R5anIKl7M8PNnR492MdKG8IwwwekM&#10;r6nG+/OHD/YamdBQlIJlVCFwwnXSyBkujZGJ5+m0pDXRO0JSDoe5UDUxsFSFlynSgPeaeaHvx14j&#10;VCaVSKnWsLtoD/Hc+c9zmpqnea6pQWyGITbjRuXGMzt68z2SFIrIskq7MMgdoqhJxeGhg6sFMQSd&#10;q+qGq7pKldAiNzupqD2R51VKXQ6QTeBvZXOsxLl0uRRJU8gBJoB2C6c7u02fLE8UqrIZjjHipAaK&#10;Lr++uHj9EsUWm0YWCZgcK3kqT1S3UbQrm+4qV7X9h0TQyqG6HlClK4NS2Ix3o2k4AfBTOBvFozDs&#10;YE9L4MZeC/xgihGcBtFkNGk5ScvD7n7g7/phezuahPbU6x/s2fiGcBoJGtJXMOm/g+m0JJI69LXF&#10;oINpNMD07tPFt/do1MLkTAaMdKIBrt8AFAR+FPWpjqM21R6oSQwcWJCieLyRJkmk0uaYihrZyQwr&#10;0LWTG1k+1qZFpDexT9WCVdlRxZhbqOLsgCm0JFAD0xEw0HvfMGPcGnNhr7Ue7Q4g3CdjZ2ciWwMQ&#10;51JVRQmBBC7ODngrl3/AwHhg4M2XH68+/Pz+FsbLzx+RS8uGAGwd8E6uffS9ZAatXhfd2MmKJD0T&#10;ge+PoHFZLpxWB8HdYIJV3GqEJH9ggnHUQAn4U0stgQaXM2JgWksoOc0Ld3eDB32dLt/9OjFsmFm6&#10;F0SXLa3uqFVTSUl2yDNk1hKKmUPXxTaEmmYYMQpN2s6AYJIYUrHbWEL291QKUEpdz9qSgqus20sB&#10;qnIyVOWWFiZxcB+UcOBH/njxPyrBNWl4fbm+3b1q7fvx+to1mqsPgv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Iel/1dwAAAANAQAADwAAAAAAAAABACAAAAAiAAAAZHJzL2Rvd25yZXYueG1sUEsB&#10;AhQAFAAAAAgAh07iQCH1ok3VAgAAWAgAAA4AAAAAAAAAAQAgAAAAKwEAAGRycy9lMm9Eb2MueG1s&#10;UEsFBgAAAAAGAAYAWQEAAHIGAAAAAA==&#10;">
              <o:lock v:ext="edit" aspectratio="f"/>
              <v:rect id="_x0000_s1026" o:spid="_x0000_s1026" o:spt="1" style="position:absolute;left:11055;top:15745;height:564;width:766;" fillcolor="#933634" filled="t" stroked="f" coordsize="21600,21600" o:gfxdata="UEsDBAoAAAAAAIdO4kAAAAAAAAAAAAAAAAAEAAAAZHJzL1BLAwQUAAAACACHTuJAib5/1L0AAADa&#10;AAAADwAAAGRycy9kb3ducmV2LnhtbEWPQWvCQBSE7wX/w/KEXoru2kLR6OpBWuxFIVHw+sg+k2D2&#10;bcyuifn33YLQ4zAz3zCrzcPWoqPWV441zKYKBHHuTMWFhtPxezIH4QOywdoxaRjIw2Y9ellhYlzP&#10;KXVZKESEsE9QQxlCk0jp85Is+qlriKN3ca3FEGVbSNNiH+G2lu9KfUqLFceFEhvalpRfs7vV8Jb2&#10;mR/2827BXXreH9TpNuy+tH4dz9QSRKBH+A8/2z9Gwwf8XY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n/U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019;top:15742;height:0;width:10038;"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1057;top:15742;height:0;width:761;" filled="f" stroked="t" coordsize="21600,21600" o:gfxdata="UEsDBAoAAAAAAIdO4kAAAAAAAAAAAAAAAAAEAAAAZHJzL1BLAwQUAAAACACHTuJAMRZxWroAAADa&#10;AAAADwAAAGRycy9kb3ducmV2LnhtbEWPy2rDMBBF94X8g5hAd43k0pbgRDYhkJJVSt0ushysiWVi&#10;jYykvP6+KgSyvNzH4S7rqxvEmULsPWsoZgoEcetNz52G35/NyxxETMgGB8+k4UYR6mrytMTS+At/&#10;07lJncgjHEvUYFMaSylja8lhnPmROHsHHxymLEMnTcBLHneDfFXqQzrsORMsjrS21B6bk8sQWSi+&#10;rZr9Kdrd264J/mv43Gr9PC3UAkSia3qE7+2t0fAO/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FnFa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FoSP93YAQAAlgMAAA4AAABkcnMvZTJvRG9jLnhtbK1T&#10;S44TMRDdI3EHy3vSSZAiaKUziwnDBkEk4AAVf7ot+SeXJ51cggsgsYMVS/bchuEYlJ1MBmY2CNGL&#10;6rKr/Krec3l5sXeW7VRCE3zHZ5MpZ8qLII3vO/7+3dWTZ5xhBi/BBq86flDIL1aPHy3H2Kp5GIKV&#10;KjEC8diOseNDzrFtGhSDcoCTEJWnoA7JQaZl6huZYCR0Z5v5dLpoxpBkTEEoRNpdH4N8VfG1ViK/&#10;0RpVZrbj1FuuNlW7LbZZLaHtE8TBiFMb8A9dODCeip6h1pCBXSfzAMoZkQIGnSciuCZobYSqHIjN&#10;bHqPzdsBoqpcSByMZ5nw/8GK17tNYkZ2fM6ZB0dXdPPx248Pn39+/0T25usXNi8ijRFbyr30m3Ra&#10;Ydykwnivkyt/4sL2VdjDWVi1z0zQ5mJG7J6S/uI21twdjAnzSxUcK07HrfGFM7Swe4WZilHqbUrZ&#10;tp6NhDh9viA4oJHRFjK5LhIJ9H09i8EaeWWsLScw9dtLm9gOyhDUr1Ai3D/SSpE14HDMq6HjeAwK&#10;5AsvWT5EksfTHPPSglOSM6to7ItHgNBmMPZvMqm09dRBUfWoY/G2QR7oMq5jMv1ASsxqlyVCl1/7&#10;PQ1qma7f1xXp7jm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NerY2QAAAAwBAAAPAAAAAAAA&#10;AAEAIAAAACIAAABkcnMvZG93bnJldi54bWxQSwECFAAUAAAACACHTuJAWhI/3dgBAACWAwAADgAA&#10;AAAAAAABACAAAAAoAQAAZHJzL2Uyb0RvYy54bWxQSwUGAAAAAAYABgBZAQAAcgUAAAAA&#10;">
              <v:fill on="f" focussize="0,0"/>
              <v:stroke weight="0.4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4266"/>
    <w:rsid w:val="0013169E"/>
    <w:rsid w:val="0015721A"/>
    <w:rsid w:val="00697269"/>
    <w:rsid w:val="006E457C"/>
    <w:rsid w:val="0131482D"/>
    <w:rsid w:val="02D835F0"/>
    <w:rsid w:val="03783F40"/>
    <w:rsid w:val="03C94B91"/>
    <w:rsid w:val="05A8121E"/>
    <w:rsid w:val="05AE7AD8"/>
    <w:rsid w:val="068F4582"/>
    <w:rsid w:val="06945215"/>
    <w:rsid w:val="06EF1557"/>
    <w:rsid w:val="074757EE"/>
    <w:rsid w:val="079B38D2"/>
    <w:rsid w:val="08126219"/>
    <w:rsid w:val="09D40757"/>
    <w:rsid w:val="0ABD1C16"/>
    <w:rsid w:val="0BA73AB8"/>
    <w:rsid w:val="0C527230"/>
    <w:rsid w:val="0CA20BA2"/>
    <w:rsid w:val="0CA93B97"/>
    <w:rsid w:val="0DF7745F"/>
    <w:rsid w:val="0EDA0846"/>
    <w:rsid w:val="0F0A3822"/>
    <w:rsid w:val="10F63897"/>
    <w:rsid w:val="11441D0E"/>
    <w:rsid w:val="12623055"/>
    <w:rsid w:val="13CA7230"/>
    <w:rsid w:val="15374ADB"/>
    <w:rsid w:val="15AA1C0D"/>
    <w:rsid w:val="188E63A3"/>
    <w:rsid w:val="19425F15"/>
    <w:rsid w:val="19592729"/>
    <w:rsid w:val="19D40B56"/>
    <w:rsid w:val="19E116CD"/>
    <w:rsid w:val="19E87702"/>
    <w:rsid w:val="1A1204D0"/>
    <w:rsid w:val="1C8B35C2"/>
    <w:rsid w:val="1C93277C"/>
    <w:rsid w:val="1C98505C"/>
    <w:rsid w:val="1C9E33F5"/>
    <w:rsid w:val="1D1C4611"/>
    <w:rsid w:val="1DE4513B"/>
    <w:rsid w:val="203A2219"/>
    <w:rsid w:val="204A3AA4"/>
    <w:rsid w:val="23B924D5"/>
    <w:rsid w:val="24021B52"/>
    <w:rsid w:val="24237E8B"/>
    <w:rsid w:val="28330972"/>
    <w:rsid w:val="28FE1228"/>
    <w:rsid w:val="2ED516AB"/>
    <w:rsid w:val="2EE93793"/>
    <w:rsid w:val="2FE83971"/>
    <w:rsid w:val="3007015B"/>
    <w:rsid w:val="304C2E1D"/>
    <w:rsid w:val="306629C0"/>
    <w:rsid w:val="31297967"/>
    <w:rsid w:val="348A72D0"/>
    <w:rsid w:val="36451026"/>
    <w:rsid w:val="3725701F"/>
    <w:rsid w:val="37B346A1"/>
    <w:rsid w:val="390F4266"/>
    <w:rsid w:val="395509EF"/>
    <w:rsid w:val="3A1E3534"/>
    <w:rsid w:val="3A647589"/>
    <w:rsid w:val="3C2E320E"/>
    <w:rsid w:val="3D5C728C"/>
    <w:rsid w:val="3DB94663"/>
    <w:rsid w:val="3E0D4D3A"/>
    <w:rsid w:val="419E7762"/>
    <w:rsid w:val="43313055"/>
    <w:rsid w:val="43A64ECD"/>
    <w:rsid w:val="450F19C2"/>
    <w:rsid w:val="45E31258"/>
    <w:rsid w:val="4662675E"/>
    <w:rsid w:val="46A10603"/>
    <w:rsid w:val="47BA79E0"/>
    <w:rsid w:val="484467DC"/>
    <w:rsid w:val="48D24AA5"/>
    <w:rsid w:val="4A463925"/>
    <w:rsid w:val="4B3C6240"/>
    <w:rsid w:val="4B7218AF"/>
    <w:rsid w:val="4B8C5ACA"/>
    <w:rsid w:val="4C0B384E"/>
    <w:rsid w:val="4C193CDA"/>
    <w:rsid w:val="4C7D23C0"/>
    <w:rsid w:val="4CA562B2"/>
    <w:rsid w:val="4D1501C6"/>
    <w:rsid w:val="506873A6"/>
    <w:rsid w:val="50991570"/>
    <w:rsid w:val="52D10B40"/>
    <w:rsid w:val="536F04D4"/>
    <w:rsid w:val="54C4027C"/>
    <w:rsid w:val="55B86639"/>
    <w:rsid w:val="5B8100C6"/>
    <w:rsid w:val="5C0B5CFE"/>
    <w:rsid w:val="5DA26E97"/>
    <w:rsid w:val="5DE65086"/>
    <w:rsid w:val="5F407D66"/>
    <w:rsid w:val="605330AF"/>
    <w:rsid w:val="61DA2EFB"/>
    <w:rsid w:val="62390929"/>
    <w:rsid w:val="624F5F90"/>
    <w:rsid w:val="6304394F"/>
    <w:rsid w:val="63613568"/>
    <w:rsid w:val="643B5BEC"/>
    <w:rsid w:val="64927102"/>
    <w:rsid w:val="654530BB"/>
    <w:rsid w:val="65733A81"/>
    <w:rsid w:val="65BE5828"/>
    <w:rsid w:val="675369F8"/>
    <w:rsid w:val="68947192"/>
    <w:rsid w:val="6A257987"/>
    <w:rsid w:val="6A5A0E68"/>
    <w:rsid w:val="6A7B707A"/>
    <w:rsid w:val="6BD94D1F"/>
    <w:rsid w:val="6C997428"/>
    <w:rsid w:val="6D11509B"/>
    <w:rsid w:val="6DDB473C"/>
    <w:rsid w:val="6E214711"/>
    <w:rsid w:val="6F0C2705"/>
    <w:rsid w:val="705A71AA"/>
    <w:rsid w:val="70D74164"/>
    <w:rsid w:val="72092A9A"/>
    <w:rsid w:val="722D0647"/>
    <w:rsid w:val="72D64867"/>
    <w:rsid w:val="72E21F4B"/>
    <w:rsid w:val="745E6CE6"/>
    <w:rsid w:val="74971F73"/>
    <w:rsid w:val="756C3DEC"/>
    <w:rsid w:val="75F052DE"/>
    <w:rsid w:val="76AF7F4E"/>
    <w:rsid w:val="77A72B6A"/>
    <w:rsid w:val="77E33978"/>
    <w:rsid w:val="78D70F47"/>
    <w:rsid w:val="7BF103D1"/>
    <w:rsid w:val="7C5E07B7"/>
    <w:rsid w:val="7CB85FBA"/>
    <w:rsid w:val="7D4A3E3C"/>
    <w:rsid w:val="7DF557B0"/>
    <w:rsid w:val="7E34482C"/>
    <w:rsid w:val="7F283C95"/>
    <w:rsid w:val="7F2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正文 CS 字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2020-04-23T02:38:00Z</dcterms:created>
  <dc:creator>Double仔</dc:creator>
  <cp:lastModifiedBy>Double仔</cp:lastModifiedBy>
  <dcterms:modified xsi:type="dcterms:W3CDTF">2020-11-28T02:56:53Z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